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DCD0" w14:textId="77777777" w:rsidR="008F5EF1" w:rsidRDefault="008F5EF1" w:rsidP="008F5EF1">
      <w:pPr>
        <w:rPr>
          <w:rFonts w:ascii="Avenir Next LT Pro" w:hAnsi="Avenir Next LT Pro"/>
          <w:sz w:val="24"/>
          <w:szCs w:val="24"/>
        </w:rPr>
      </w:pPr>
    </w:p>
    <w:p w14:paraId="6E22F19F" w14:textId="77777777" w:rsidR="00E76E1B" w:rsidRDefault="00722147" w:rsidP="008F5EF1">
      <w:pPr>
        <w:jc w:val="center"/>
        <w:rPr>
          <w:rFonts w:ascii="Avenir Next LT Pro" w:hAnsi="Avenir Next LT Pro"/>
          <w:b/>
          <w:bCs/>
          <w:color w:val="000000" w:themeColor="text1"/>
          <w:sz w:val="24"/>
          <w:szCs w:val="24"/>
        </w:rPr>
      </w:pPr>
      <w:r w:rsidRPr="006559D0">
        <w:rPr>
          <w:rFonts w:ascii="Avenir Next LT Pro" w:hAnsi="Avenir Next LT Pro"/>
          <w:b/>
          <w:bCs/>
          <w:color w:val="000000" w:themeColor="text1"/>
          <w:sz w:val="24"/>
          <w:szCs w:val="24"/>
        </w:rPr>
        <w:t>S</w:t>
      </w:r>
      <w:r>
        <w:rPr>
          <w:rFonts w:ascii="Avenir Next LT Pro" w:hAnsi="Avenir Next LT Pro"/>
          <w:b/>
          <w:bCs/>
          <w:color w:val="000000" w:themeColor="text1"/>
          <w:sz w:val="24"/>
          <w:szCs w:val="24"/>
        </w:rPr>
        <w:t>upport</w:t>
      </w:r>
      <w:r w:rsidR="00133ADD">
        <w:rPr>
          <w:rFonts w:ascii="Avenir Next LT Pro" w:hAnsi="Avenir Next LT Pro"/>
          <w:b/>
          <w:bCs/>
          <w:color w:val="000000" w:themeColor="text1"/>
          <w:sz w:val="24"/>
          <w:szCs w:val="24"/>
        </w:rPr>
        <w:t xml:space="preserve"> House </w:t>
      </w:r>
      <w:r w:rsidR="003128D1">
        <w:rPr>
          <w:rFonts w:ascii="Avenir Next LT Pro" w:hAnsi="Avenir Next LT Pro"/>
          <w:b/>
          <w:bCs/>
          <w:color w:val="000000" w:themeColor="text1"/>
          <w:sz w:val="24"/>
          <w:szCs w:val="24"/>
        </w:rPr>
        <w:t xml:space="preserve">Bill </w:t>
      </w:r>
      <w:r w:rsidR="00133ADD">
        <w:rPr>
          <w:rFonts w:ascii="Avenir Next LT Pro" w:hAnsi="Avenir Next LT Pro"/>
          <w:b/>
          <w:bCs/>
          <w:color w:val="000000" w:themeColor="text1"/>
          <w:sz w:val="24"/>
          <w:szCs w:val="24"/>
        </w:rPr>
        <w:t>2645</w:t>
      </w:r>
      <w:r w:rsidR="00E76E1B">
        <w:rPr>
          <w:rFonts w:ascii="Avenir Next LT Pro" w:hAnsi="Avenir Next LT Pro"/>
          <w:b/>
          <w:bCs/>
          <w:color w:val="000000" w:themeColor="text1"/>
          <w:sz w:val="24"/>
          <w:szCs w:val="24"/>
        </w:rPr>
        <w:t xml:space="preserve"> </w:t>
      </w:r>
    </w:p>
    <w:p w14:paraId="43D86C90" w14:textId="2ED9A1DA" w:rsidR="00722147" w:rsidRDefault="00E76E1B" w:rsidP="008F5EF1">
      <w:pPr>
        <w:jc w:val="center"/>
        <w:rPr>
          <w:rFonts w:ascii="Avenir Next LT Pro" w:hAnsi="Avenir Next LT Pro"/>
          <w:color w:val="000000" w:themeColor="text1"/>
          <w:sz w:val="24"/>
          <w:szCs w:val="24"/>
        </w:rPr>
      </w:pPr>
      <w:r>
        <w:rPr>
          <w:rFonts w:ascii="Avenir Next LT Pro" w:hAnsi="Avenir Next LT Pro"/>
          <w:b/>
          <w:bCs/>
          <w:color w:val="000000" w:themeColor="text1"/>
          <w:sz w:val="24"/>
          <w:szCs w:val="24"/>
        </w:rPr>
        <w:t>Partial Credit for High-School Age Foster Youth</w:t>
      </w:r>
    </w:p>
    <w:p w14:paraId="60C9A61B" w14:textId="41051B3C" w:rsidR="00722147" w:rsidRPr="00E76E1B" w:rsidRDefault="00547DB8" w:rsidP="00FC35D3">
      <w:pPr>
        <w:jc w:val="both"/>
        <w:rPr>
          <w:rFonts w:ascii="Avenir Next LT Pro" w:hAnsi="Avenir Next LT Pro" w:cs="Arial"/>
          <w:sz w:val="24"/>
          <w:szCs w:val="24"/>
          <w:bdr w:val="none" w:sz="0" w:space="0" w:color="auto" w:frame="1"/>
        </w:rPr>
      </w:pPr>
      <w:r w:rsidRPr="00E76E1B">
        <w:rPr>
          <w:rFonts w:ascii="Avenir Next LT Pro" w:hAnsi="Avenir Next LT Pro" w:cs="Calibri"/>
          <w:sz w:val="24"/>
          <w:szCs w:val="24"/>
          <w:shd w:val="clear" w:color="auto" w:fill="FFFFFF"/>
        </w:rPr>
        <w:t xml:space="preserve">This bill </w:t>
      </w:r>
      <w:r w:rsidR="00DD0C51" w:rsidRPr="00E76E1B">
        <w:rPr>
          <w:rFonts w:ascii="Avenir Next LT Pro" w:hAnsi="Avenir Next LT Pro" w:cs="Calibri"/>
          <w:sz w:val="24"/>
          <w:szCs w:val="24"/>
          <w:shd w:val="clear" w:color="auto" w:fill="FFFFFF"/>
        </w:rPr>
        <w:t xml:space="preserve">requires </w:t>
      </w:r>
      <w:r w:rsidR="0017383B" w:rsidRPr="00E76E1B">
        <w:rPr>
          <w:rFonts w:ascii="Avenir Next LT Pro" w:hAnsi="Avenir Next LT Pro" w:cs="Calibri"/>
          <w:sz w:val="24"/>
          <w:szCs w:val="24"/>
          <w:shd w:val="clear" w:color="auto" w:fill="FFFFFF"/>
        </w:rPr>
        <w:t>calculating and applying partial credits when a high-school-</w:t>
      </w:r>
      <w:r w:rsidR="00DD0C51" w:rsidRPr="00E76E1B">
        <w:rPr>
          <w:rFonts w:ascii="Avenir Next LT Pro" w:hAnsi="Avenir Next LT Pro" w:cs="Calibri"/>
          <w:sz w:val="24"/>
          <w:szCs w:val="24"/>
          <w:shd w:val="clear" w:color="auto" w:fill="FFFFFF"/>
        </w:rPr>
        <w:t xml:space="preserve">age foster youth must transfer schools </w:t>
      </w:r>
      <w:r w:rsidR="0017383B" w:rsidRPr="00E76E1B">
        <w:rPr>
          <w:rFonts w:ascii="Avenir Next LT Pro" w:hAnsi="Avenir Next LT Pro" w:cs="Calibri"/>
          <w:sz w:val="24"/>
          <w:szCs w:val="24"/>
          <w:shd w:val="clear" w:color="auto" w:fill="FFFFFF"/>
        </w:rPr>
        <w:t>according to a best interest determination.</w:t>
      </w:r>
      <w:r w:rsidR="00C57742" w:rsidRPr="00E76E1B">
        <w:rPr>
          <w:rFonts w:ascii="Avenir Next LT Pro" w:hAnsi="Avenir Next LT Pro" w:cs="Calibri"/>
          <w:sz w:val="24"/>
          <w:szCs w:val="24"/>
          <w:shd w:val="clear" w:color="auto" w:fill="FFFFFF"/>
        </w:rPr>
        <w:t xml:space="preserve"> </w:t>
      </w:r>
      <w:r w:rsidR="00E76E1B">
        <w:rPr>
          <w:rFonts w:ascii="Avenir Next LT Pro" w:hAnsi="Avenir Next LT Pro" w:cs="Calibri"/>
          <w:sz w:val="24"/>
          <w:szCs w:val="24"/>
          <w:shd w:val="clear" w:color="auto" w:fill="FFFFFF"/>
        </w:rPr>
        <w:t>T</w:t>
      </w:r>
      <w:r w:rsidR="00C57742" w:rsidRPr="00E76E1B">
        <w:rPr>
          <w:rFonts w:ascii="Avenir Next LT Pro" w:hAnsi="Avenir Next LT Pro" w:cs="Calibri"/>
          <w:sz w:val="24"/>
          <w:szCs w:val="24"/>
          <w:shd w:val="clear" w:color="auto" w:fill="FFFFFF"/>
        </w:rPr>
        <w:t xml:space="preserve">he state board of education </w:t>
      </w:r>
      <w:r w:rsidR="00E76E1B">
        <w:rPr>
          <w:rFonts w:ascii="Avenir Next LT Pro" w:hAnsi="Avenir Next LT Pro" w:cs="Calibri"/>
          <w:sz w:val="24"/>
          <w:szCs w:val="24"/>
          <w:shd w:val="clear" w:color="auto" w:fill="FFFFFF"/>
        </w:rPr>
        <w:t>must</w:t>
      </w:r>
      <w:r w:rsidR="00C57742" w:rsidRPr="00E76E1B">
        <w:rPr>
          <w:rFonts w:ascii="Avenir Next LT Pro" w:hAnsi="Avenir Next LT Pro" w:cs="Calibri"/>
          <w:sz w:val="24"/>
          <w:szCs w:val="24"/>
          <w:shd w:val="clear" w:color="auto" w:fill="FFFFFF"/>
        </w:rPr>
        <w:t xml:space="preserve"> develop guidelines for calculating partial credits</w:t>
      </w:r>
      <w:r w:rsidR="00E76E1B">
        <w:rPr>
          <w:rFonts w:ascii="Avenir Next LT Pro" w:hAnsi="Avenir Next LT Pro" w:cs="Calibri"/>
          <w:sz w:val="24"/>
          <w:szCs w:val="24"/>
          <w:shd w:val="clear" w:color="auto" w:fill="FFFFFF"/>
        </w:rPr>
        <w:t xml:space="preserve">, and local </w:t>
      </w:r>
      <w:r w:rsidR="00C57742" w:rsidRPr="00E76E1B">
        <w:rPr>
          <w:rFonts w:ascii="Avenir Next LT Pro" w:hAnsi="Avenir Next LT Pro" w:cs="Calibri"/>
          <w:sz w:val="24"/>
          <w:szCs w:val="24"/>
          <w:shd w:val="clear" w:color="auto" w:fill="FFFFFF"/>
        </w:rPr>
        <w:t xml:space="preserve">school boards </w:t>
      </w:r>
      <w:r w:rsidR="00E76E1B">
        <w:rPr>
          <w:rFonts w:ascii="Avenir Next LT Pro" w:hAnsi="Avenir Next LT Pro" w:cs="Calibri"/>
          <w:sz w:val="24"/>
          <w:szCs w:val="24"/>
          <w:shd w:val="clear" w:color="auto" w:fill="FFFFFF"/>
        </w:rPr>
        <w:t>must</w:t>
      </w:r>
      <w:r w:rsidR="00C57742" w:rsidRPr="00E76E1B">
        <w:rPr>
          <w:rFonts w:ascii="Avenir Next LT Pro" w:hAnsi="Avenir Next LT Pro" w:cs="Calibri"/>
          <w:sz w:val="24"/>
          <w:szCs w:val="24"/>
          <w:shd w:val="clear" w:color="auto" w:fill="FFFFFF"/>
        </w:rPr>
        <w:t xml:space="preserve"> </w:t>
      </w:r>
      <w:r w:rsidR="00BC24F3" w:rsidRPr="00E76E1B">
        <w:rPr>
          <w:rFonts w:ascii="Avenir Next LT Pro" w:hAnsi="Avenir Next LT Pro" w:cs="Calibri"/>
          <w:sz w:val="24"/>
          <w:szCs w:val="24"/>
          <w:shd w:val="clear" w:color="auto" w:fill="FFFFFF"/>
        </w:rPr>
        <w:t>establish</w:t>
      </w:r>
      <w:r w:rsidR="00C57742" w:rsidRPr="00E76E1B">
        <w:rPr>
          <w:rFonts w:ascii="Avenir Next LT Pro" w:hAnsi="Avenir Next LT Pro" w:cs="Calibri"/>
          <w:sz w:val="24"/>
          <w:szCs w:val="24"/>
          <w:shd w:val="clear" w:color="auto" w:fill="FFFFFF"/>
        </w:rPr>
        <w:t xml:space="preserve"> </w:t>
      </w:r>
      <w:r w:rsidR="00A021C9" w:rsidRPr="00E76E1B">
        <w:rPr>
          <w:rFonts w:ascii="Avenir Next LT Pro" w:hAnsi="Avenir Next LT Pro" w:cs="Calibri"/>
          <w:sz w:val="24"/>
          <w:szCs w:val="24"/>
          <w:shd w:val="clear" w:color="auto" w:fill="FFFFFF"/>
        </w:rPr>
        <w:t xml:space="preserve">policies for calculating and accepting transfer credits and prioritizing </w:t>
      </w:r>
      <w:r w:rsidR="00BC24F3" w:rsidRPr="00E76E1B">
        <w:rPr>
          <w:rFonts w:ascii="Avenir Next LT Pro" w:hAnsi="Avenir Next LT Pro" w:cs="Calibri"/>
          <w:sz w:val="24"/>
          <w:szCs w:val="24"/>
          <w:shd w:val="clear" w:color="auto" w:fill="FFFFFF"/>
        </w:rPr>
        <w:t xml:space="preserve">the application of earned credits to core credit requirements. </w:t>
      </w:r>
      <w:r w:rsidR="00E76E1B">
        <w:rPr>
          <w:rFonts w:ascii="Avenir Next LT Pro" w:hAnsi="Avenir Next LT Pro" w:cs="Calibri"/>
          <w:sz w:val="24"/>
          <w:szCs w:val="24"/>
          <w:shd w:val="clear" w:color="auto" w:fill="FFFFFF"/>
        </w:rPr>
        <w:t>Also, it</w:t>
      </w:r>
      <w:r w:rsidR="00BC24F3" w:rsidRPr="00E76E1B">
        <w:rPr>
          <w:rFonts w:ascii="Avenir Next LT Pro" w:hAnsi="Avenir Next LT Pro" w:cs="Calibri"/>
          <w:sz w:val="24"/>
          <w:szCs w:val="24"/>
          <w:shd w:val="clear" w:color="auto" w:fill="FFFFFF"/>
        </w:rPr>
        <w:t xml:space="preserve"> </w:t>
      </w:r>
      <w:r w:rsidR="00E76E1B">
        <w:rPr>
          <w:rFonts w:ascii="Avenir Next LT Pro" w:hAnsi="Avenir Next LT Pro" w:cs="Calibri"/>
          <w:sz w:val="24"/>
          <w:szCs w:val="24"/>
          <w:shd w:val="clear" w:color="auto" w:fill="FFFFFF"/>
        </w:rPr>
        <w:t xml:space="preserve">permits </w:t>
      </w:r>
      <w:r w:rsidR="00BC24F3" w:rsidRPr="00E76E1B">
        <w:rPr>
          <w:rFonts w:ascii="Avenir Next LT Pro" w:hAnsi="Avenir Next LT Pro" w:cs="Calibri"/>
          <w:sz w:val="24"/>
          <w:szCs w:val="24"/>
          <w:shd w:val="clear" w:color="auto" w:fill="FFFFFF"/>
        </w:rPr>
        <w:t xml:space="preserve">foster youth </w:t>
      </w:r>
      <w:r w:rsidR="009D5E49" w:rsidRPr="00E76E1B">
        <w:rPr>
          <w:rFonts w:ascii="Avenir Next LT Pro" w:hAnsi="Avenir Next LT Pro" w:cs="Calibri"/>
          <w:sz w:val="24"/>
          <w:szCs w:val="24"/>
          <w:shd w:val="clear" w:color="auto" w:fill="FFFFFF"/>
        </w:rPr>
        <w:t>who are forced to transfer schools to graduate by meeting the minimum requirements set by the st</w:t>
      </w:r>
      <w:r w:rsidR="00A8279C" w:rsidRPr="00E76E1B">
        <w:rPr>
          <w:rFonts w:ascii="Avenir Next LT Pro" w:hAnsi="Avenir Next LT Pro" w:cs="Calibri"/>
          <w:sz w:val="24"/>
          <w:szCs w:val="24"/>
          <w:shd w:val="clear" w:color="auto" w:fill="FFFFFF"/>
        </w:rPr>
        <w:t>ate board of education.</w:t>
      </w:r>
    </w:p>
    <w:p w14:paraId="32F632D3" w14:textId="355204AB" w:rsidR="00722147" w:rsidRDefault="00722147" w:rsidP="00722147">
      <w:pPr>
        <w:jc w:val="center"/>
        <w:rPr>
          <w:rFonts w:ascii="Avenir Next LT Pro" w:hAnsi="Avenir Next LT Pro"/>
          <w:sz w:val="24"/>
          <w:szCs w:val="24"/>
        </w:rPr>
      </w:pPr>
      <w:r w:rsidRPr="006559D0">
        <w:rPr>
          <w:rFonts w:ascii="Avenir Next LT Pro" w:hAnsi="Avenir Next LT Pro"/>
          <w:b/>
          <w:bCs/>
          <w:sz w:val="24"/>
          <w:szCs w:val="24"/>
        </w:rPr>
        <w:t>In-Person</w:t>
      </w:r>
      <w:r w:rsidR="00133ADD">
        <w:rPr>
          <w:rFonts w:ascii="Avenir Next LT Pro" w:hAnsi="Avenir Next LT Pro"/>
          <w:b/>
          <w:bCs/>
          <w:sz w:val="24"/>
          <w:szCs w:val="24"/>
        </w:rPr>
        <w:t xml:space="preserve"> </w:t>
      </w:r>
      <w:r w:rsidRPr="006559D0">
        <w:rPr>
          <w:rFonts w:ascii="Avenir Next LT Pro" w:hAnsi="Avenir Next LT Pro"/>
          <w:b/>
          <w:bCs/>
          <w:sz w:val="24"/>
          <w:szCs w:val="24"/>
        </w:rPr>
        <w:t>Testimony</w:t>
      </w:r>
    </w:p>
    <w:p w14:paraId="23E97601" w14:textId="07734E0A" w:rsidR="00FC35D3" w:rsidRDefault="00DF6E5C" w:rsidP="00FC35D3">
      <w:pPr>
        <w:spacing w:after="0" w:line="240" w:lineRule="auto"/>
        <w:jc w:val="center"/>
        <w:rPr>
          <w:rFonts w:ascii="Avenir Next LT Pro" w:hAnsi="Avenir Next LT Pro"/>
          <w:sz w:val="24"/>
          <w:szCs w:val="24"/>
        </w:rPr>
      </w:pPr>
      <w:r>
        <w:rPr>
          <w:rFonts w:ascii="Avenir Next LT Pro" w:hAnsi="Avenir Next LT Pro"/>
          <w:sz w:val="24"/>
          <w:szCs w:val="24"/>
        </w:rPr>
        <w:t>Kendall Seal</w:t>
      </w:r>
      <w:r w:rsidR="003128D1">
        <w:rPr>
          <w:rFonts w:ascii="Avenir Next LT Pro" w:hAnsi="Avenir Next LT Pro"/>
          <w:sz w:val="24"/>
          <w:szCs w:val="24"/>
        </w:rPr>
        <w:t xml:space="preserve">, </w:t>
      </w:r>
      <w:r>
        <w:rPr>
          <w:rFonts w:ascii="Avenir Next LT Pro" w:hAnsi="Avenir Next LT Pro"/>
          <w:sz w:val="24"/>
          <w:szCs w:val="24"/>
        </w:rPr>
        <w:t>Vice President of Policy</w:t>
      </w:r>
      <w:r w:rsidR="00722147">
        <w:rPr>
          <w:rFonts w:ascii="Avenir Next LT Pro" w:hAnsi="Avenir Next LT Pro"/>
          <w:sz w:val="24"/>
          <w:szCs w:val="24"/>
        </w:rPr>
        <w:t xml:space="preserve"> </w:t>
      </w:r>
    </w:p>
    <w:p w14:paraId="2A089A67" w14:textId="7BF2AFB3" w:rsidR="00722147" w:rsidRDefault="00722147" w:rsidP="00FC35D3">
      <w:pPr>
        <w:spacing w:after="0" w:line="240" w:lineRule="auto"/>
        <w:jc w:val="center"/>
        <w:rPr>
          <w:rFonts w:ascii="Avenir Next LT Pro" w:hAnsi="Avenir Next LT Pro"/>
          <w:sz w:val="24"/>
          <w:szCs w:val="24"/>
        </w:rPr>
      </w:pPr>
      <w:r w:rsidRPr="006559D0">
        <w:rPr>
          <w:rFonts w:ascii="Avenir Next LT Pro" w:hAnsi="Avenir Next LT Pro"/>
          <w:sz w:val="24"/>
          <w:szCs w:val="24"/>
        </w:rPr>
        <w:t>Center for the Rights of Abused Children</w:t>
      </w:r>
    </w:p>
    <w:p w14:paraId="27181B6A" w14:textId="77777777" w:rsidR="00722147" w:rsidRPr="00FF003C" w:rsidRDefault="00722147" w:rsidP="00722147">
      <w:pPr>
        <w:jc w:val="center"/>
        <w:rPr>
          <w:rFonts w:ascii="Avenir Next LT Pro" w:hAnsi="Avenir Next LT Pro"/>
          <w:sz w:val="24"/>
          <w:szCs w:val="24"/>
        </w:rPr>
      </w:pPr>
    </w:p>
    <w:p w14:paraId="62E07B9C" w14:textId="31C37EF3" w:rsidR="00722147" w:rsidRDefault="00E76E1B" w:rsidP="00722147">
      <w:pPr>
        <w:pBdr>
          <w:bottom w:val="single" w:sz="12" w:space="1" w:color="auto"/>
        </w:pBdr>
        <w:jc w:val="center"/>
        <w:rPr>
          <w:rFonts w:ascii="Avenir Next LT Pro" w:hAnsi="Avenir Next LT Pro"/>
          <w:b/>
          <w:bCs/>
          <w:sz w:val="24"/>
          <w:szCs w:val="24"/>
        </w:rPr>
      </w:pPr>
      <w:r>
        <w:rPr>
          <w:rFonts w:ascii="Avenir Next LT Pro" w:hAnsi="Avenir Next LT Pro"/>
          <w:b/>
          <w:bCs/>
          <w:sz w:val="24"/>
          <w:szCs w:val="24"/>
        </w:rPr>
        <w:t xml:space="preserve">Arizona </w:t>
      </w:r>
      <w:r w:rsidR="00DF6E5C">
        <w:rPr>
          <w:rFonts w:ascii="Avenir Next LT Pro" w:hAnsi="Avenir Next LT Pro"/>
          <w:b/>
          <w:bCs/>
          <w:sz w:val="24"/>
          <w:szCs w:val="24"/>
        </w:rPr>
        <w:t xml:space="preserve">House Education </w:t>
      </w:r>
      <w:r w:rsidR="00722147">
        <w:rPr>
          <w:rFonts w:ascii="Avenir Next LT Pro" w:hAnsi="Avenir Next LT Pro"/>
          <w:b/>
          <w:bCs/>
          <w:sz w:val="24"/>
          <w:szCs w:val="24"/>
        </w:rPr>
        <w:t>Committee</w:t>
      </w:r>
    </w:p>
    <w:p w14:paraId="58F30229" w14:textId="0530BE84" w:rsidR="00722147" w:rsidRPr="00FF003C" w:rsidRDefault="00DF6E5C" w:rsidP="00722147">
      <w:pPr>
        <w:pBdr>
          <w:bottom w:val="single" w:sz="12" w:space="1" w:color="auto"/>
        </w:pBdr>
        <w:jc w:val="center"/>
        <w:rPr>
          <w:rFonts w:ascii="Avenir Next LT Pro" w:hAnsi="Avenir Next LT Pro"/>
          <w:sz w:val="24"/>
          <w:szCs w:val="24"/>
        </w:rPr>
      </w:pPr>
      <w:r>
        <w:rPr>
          <w:rFonts w:ascii="Avenir Next LT Pro" w:hAnsi="Avenir Next LT Pro"/>
          <w:sz w:val="24"/>
          <w:szCs w:val="24"/>
        </w:rPr>
        <w:t>Tuesday</w:t>
      </w:r>
      <w:r w:rsidR="00722147" w:rsidRPr="00FF003C">
        <w:rPr>
          <w:rFonts w:ascii="Avenir Next LT Pro" w:hAnsi="Avenir Next LT Pro"/>
          <w:sz w:val="24"/>
          <w:szCs w:val="24"/>
        </w:rPr>
        <w:t xml:space="preserve">, </w:t>
      </w:r>
      <w:r>
        <w:rPr>
          <w:rFonts w:ascii="Avenir Next LT Pro" w:hAnsi="Avenir Next LT Pro"/>
          <w:sz w:val="24"/>
          <w:szCs w:val="24"/>
        </w:rPr>
        <w:t>January 30</w:t>
      </w:r>
      <w:r w:rsidR="00722147" w:rsidRPr="00FF003C">
        <w:rPr>
          <w:rFonts w:ascii="Avenir Next LT Pro" w:hAnsi="Avenir Next LT Pro"/>
          <w:sz w:val="24"/>
          <w:szCs w:val="24"/>
        </w:rPr>
        <w:t>, 202</w:t>
      </w:r>
      <w:r>
        <w:rPr>
          <w:rFonts w:ascii="Avenir Next LT Pro" w:hAnsi="Avenir Next LT Pro"/>
          <w:sz w:val="24"/>
          <w:szCs w:val="24"/>
        </w:rPr>
        <w:t>4</w:t>
      </w:r>
      <w:r w:rsidR="00E76E1B">
        <w:rPr>
          <w:rFonts w:ascii="Avenir Next LT Pro" w:hAnsi="Avenir Next LT Pro"/>
          <w:sz w:val="24"/>
          <w:szCs w:val="24"/>
        </w:rPr>
        <w:t>,</w:t>
      </w:r>
      <w:r w:rsidR="00722147" w:rsidRPr="00FF003C">
        <w:rPr>
          <w:rFonts w:ascii="Avenir Next LT Pro" w:hAnsi="Avenir Next LT Pro"/>
          <w:sz w:val="24"/>
          <w:szCs w:val="24"/>
        </w:rPr>
        <w:t xml:space="preserve"> at </w:t>
      </w:r>
      <w:r w:rsidR="00722147">
        <w:rPr>
          <w:rFonts w:ascii="Avenir Next LT Pro" w:hAnsi="Avenir Next LT Pro"/>
          <w:sz w:val="24"/>
          <w:szCs w:val="24"/>
        </w:rPr>
        <w:t>2:00</w:t>
      </w:r>
      <w:r w:rsidR="00722147" w:rsidRPr="00FF003C">
        <w:rPr>
          <w:rFonts w:ascii="Avenir Next LT Pro" w:hAnsi="Avenir Next LT Pro"/>
          <w:sz w:val="24"/>
          <w:szCs w:val="24"/>
        </w:rPr>
        <w:t xml:space="preserve"> p.m.</w:t>
      </w:r>
    </w:p>
    <w:p w14:paraId="7DA6CDB6" w14:textId="77777777" w:rsidR="00722147" w:rsidRPr="006559D0" w:rsidRDefault="00722147" w:rsidP="00722147">
      <w:pPr>
        <w:pBdr>
          <w:bottom w:val="single" w:sz="12" w:space="1" w:color="auto"/>
        </w:pBdr>
        <w:jc w:val="both"/>
        <w:rPr>
          <w:rFonts w:ascii="Avenir Next LT Pro" w:hAnsi="Avenir Next LT Pro"/>
          <w:b/>
          <w:bCs/>
          <w:sz w:val="24"/>
          <w:szCs w:val="24"/>
        </w:rPr>
      </w:pPr>
    </w:p>
    <w:p w14:paraId="5D270707" w14:textId="77777777" w:rsidR="008F5EF1" w:rsidRDefault="008F5EF1" w:rsidP="00722147">
      <w:pPr>
        <w:spacing w:line="480" w:lineRule="auto"/>
        <w:jc w:val="both"/>
        <w:rPr>
          <w:rFonts w:ascii="Avenir Next LT Pro" w:hAnsi="Avenir Next LT Pro"/>
          <w:sz w:val="24"/>
          <w:szCs w:val="24"/>
        </w:rPr>
      </w:pPr>
    </w:p>
    <w:p w14:paraId="4628C00A" w14:textId="6E44C6B2" w:rsidR="00783A68" w:rsidRDefault="00344DF7" w:rsidP="00344DF7">
      <w:pPr>
        <w:spacing w:line="480" w:lineRule="auto"/>
        <w:jc w:val="both"/>
        <w:rPr>
          <w:rFonts w:ascii="Avenir Next LT Pro" w:hAnsi="Avenir Next LT Pro"/>
          <w:sz w:val="24"/>
          <w:szCs w:val="24"/>
        </w:rPr>
      </w:pPr>
      <w:r>
        <w:rPr>
          <w:rFonts w:ascii="Avenir Next LT Pro" w:hAnsi="Avenir Next LT Pro"/>
          <w:sz w:val="24"/>
          <w:szCs w:val="24"/>
        </w:rPr>
        <w:t xml:space="preserve">Chair </w:t>
      </w:r>
      <w:proofErr w:type="spellStart"/>
      <w:r>
        <w:rPr>
          <w:rFonts w:ascii="Avenir Next LT Pro" w:hAnsi="Avenir Next LT Pro"/>
          <w:sz w:val="24"/>
          <w:szCs w:val="24"/>
        </w:rPr>
        <w:t>Pingerelli</w:t>
      </w:r>
      <w:proofErr w:type="spellEnd"/>
      <w:r w:rsidR="009246E1">
        <w:rPr>
          <w:rFonts w:ascii="Avenir Next LT Pro" w:hAnsi="Avenir Next LT Pro"/>
          <w:sz w:val="24"/>
          <w:szCs w:val="24"/>
        </w:rPr>
        <w:t>, Vice-Chair Marshall, and Committee</w:t>
      </w:r>
      <w:r w:rsidR="00E76E1B">
        <w:rPr>
          <w:rFonts w:ascii="Avenir Next LT Pro" w:hAnsi="Avenir Next LT Pro"/>
          <w:sz w:val="24"/>
          <w:szCs w:val="24"/>
        </w:rPr>
        <w:t xml:space="preserve"> members</w:t>
      </w:r>
      <w:r w:rsidR="009246E1">
        <w:rPr>
          <w:rFonts w:ascii="Avenir Next LT Pro" w:hAnsi="Avenir Next LT Pro"/>
          <w:sz w:val="24"/>
          <w:szCs w:val="24"/>
        </w:rPr>
        <w:t>:</w:t>
      </w:r>
    </w:p>
    <w:p w14:paraId="251F48CD" w14:textId="0A29B2AD" w:rsidR="005B4C27" w:rsidRDefault="005B4C27" w:rsidP="007C2A68">
      <w:pPr>
        <w:spacing w:line="480" w:lineRule="auto"/>
        <w:ind w:firstLine="720"/>
        <w:jc w:val="both"/>
        <w:rPr>
          <w:rFonts w:ascii="Avenir Next LT Pro" w:hAnsi="Avenir Next LT Pro"/>
          <w:sz w:val="24"/>
          <w:szCs w:val="24"/>
        </w:rPr>
      </w:pPr>
      <w:r>
        <w:rPr>
          <w:rFonts w:ascii="Avenir Next LT Pro" w:hAnsi="Avenir Next LT Pro"/>
          <w:sz w:val="24"/>
          <w:szCs w:val="24"/>
        </w:rPr>
        <w:t>My name is Kendall Seal</w:t>
      </w:r>
      <w:r w:rsidR="00E76E1B">
        <w:rPr>
          <w:rFonts w:ascii="Avenir Next LT Pro" w:hAnsi="Avenir Next LT Pro"/>
          <w:sz w:val="24"/>
          <w:szCs w:val="24"/>
        </w:rPr>
        <w:t xml:space="preserve">, and </w:t>
      </w:r>
      <w:r>
        <w:rPr>
          <w:rFonts w:ascii="Avenir Next LT Pro" w:hAnsi="Avenir Next LT Pro"/>
          <w:sz w:val="24"/>
          <w:szCs w:val="24"/>
        </w:rPr>
        <w:t xml:space="preserve">I </w:t>
      </w:r>
      <w:r w:rsidR="00E76E1B">
        <w:rPr>
          <w:rFonts w:ascii="Avenir Next LT Pro" w:hAnsi="Avenir Next LT Pro"/>
          <w:sz w:val="24"/>
          <w:szCs w:val="24"/>
        </w:rPr>
        <w:t>serve as</w:t>
      </w:r>
      <w:r>
        <w:rPr>
          <w:rFonts w:ascii="Avenir Next LT Pro" w:hAnsi="Avenir Next LT Pro"/>
          <w:sz w:val="24"/>
          <w:szCs w:val="24"/>
        </w:rPr>
        <w:t xml:space="preserve"> Vice President of Public Policy at the Center for the Rights of Abused Children. </w:t>
      </w:r>
      <w:r w:rsidR="00E76E1B">
        <w:rPr>
          <w:rFonts w:ascii="Avenir Next LT Pro" w:hAnsi="Avenir Next LT Pro"/>
          <w:sz w:val="24"/>
          <w:szCs w:val="24"/>
        </w:rPr>
        <w:t xml:space="preserve">The Center </w:t>
      </w:r>
      <w:r w:rsidR="007531ED">
        <w:rPr>
          <w:rFonts w:ascii="Avenir Next LT Pro" w:hAnsi="Avenir Next LT Pro"/>
          <w:sz w:val="24"/>
          <w:szCs w:val="24"/>
        </w:rPr>
        <w:t>support</w:t>
      </w:r>
      <w:r w:rsidR="00E76E1B">
        <w:rPr>
          <w:rFonts w:ascii="Avenir Next LT Pro" w:hAnsi="Avenir Next LT Pro"/>
          <w:sz w:val="24"/>
          <w:szCs w:val="24"/>
        </w:rPr>
        <w:t>s</w:t>
      </w:r>
      <w:r>
        <w:rPr>
          <w:rFonts w:ascii="Avenir Next LT Pro" w:hAnsi="Avenir Next LT Pro"/>
          <w:sz w:val="24"/>
          <w:szCs w:val="24"/>
        </w:rPr>
        <w:t xml:space="preserve"> House Bill 2645</w:t>
      </w:r>
      <w:r w:rsidR="007531ED">
        <w:rPr>
          <w:rFonts w:ascii="Avenir Next LT Pro" w:hAnsi="Avenir Next LT Pro"/>
          <w:sz w:val="24"/>
          <w:szCs w:val="24"/>
        </w:rPr>
        <w:t xml:space="preserve"> to </w:t>
      </w:r>
      <w:r w:rsidR="006E0A90">
        <w:rPr>
          <w:rFonts w:ascii="Avenir Next LT Pro" w:hAnsi="Avenir Next LT Pro"/>
          <w:sz w:val="24"/>
          <w:szCs w:val="24"/>
        </w:rPr>
        <w:t xml:space="preserve">help youth in foster care graduate </w:t>
      </w:r>
      <w:r w:rsidR="007531ED">
        <w:rPr>
          <w:rFonts w:ascii="Avenir Next LT Pro" w:hAnsi="Avenir Next LT Pro"/>
          <w:sz w:val="24"/>
          <w:szCs w:val="24"/>
        </w:rPr>
        <w:t>from high school on time</w:t>
      </w:r>
      <w:r w:rsidR="006E0A90">
        <w:rPr>
          <w:rFonts w:ascii="Avenir Next LT Pro" w:hAnsi="Avenir Next LT Pro"/>
          <w:sz w:val="24"/>
          <w:szCs w:val="24"/>
        </w:rPr>
        <w:t>.</w:t>
      </w:r>
    </w:p>
    <w:p w14:paraId="38C92C68" w14:textId="46F0CDD7" w:rsidR="0060352A" w:rsidRDefault="009E34EB" w:rsidP="007C2A68">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Last year, </w:t>
      </w:r>
      <w:r w:rsidR="00E76E1B">
        <w:rPr>
          <w:rFonts w:ascii="Avenir Next LT Pro" w:hAnsi="Avenir Next LT Pro"/>
          <w:sz w:val="24"/>
          <w:szCs w:val="24"/>
        </w:rPr>
        <w:t xml:space="preserve">you </w:t>
      </w:r>
      <w:r w:rsidR="007C2A68">
        <w:rPr>
          <w:rFonts w:ascii="Avenir Next LT Pro" w:hAnsi="Avenir Next LT Pro"/>
          <w:sz w:val="24"/>
          <w:szCs w:val="24"/>
        </w:rPr>
        <w:t xml:space="preserve">passed </w:t>
      </w:r>
      <w:r w:rsidR="00E76E1B">
        <w:rPr>
          <w:rFonts w:ascii="Avenir Next LT Pro" w:hAnsi="Avenir Next LT Pro"/>
          <w:sz w:val="24"/>
          <w:szCs w:val="24"/>
        </w:rPr>
        <w:t xml:space="preserve">Senate Bill 1205, which was </w:t>
      </w:r>
      <w:r w:rsidR="007531ED">
        <w:rPr>
          <w:rFonts w:ascii="Avenir Next LT Pro" w:hAnsi="Avenir Next LT Pro"/>
          <w:sz w:val="24"/>
          <w:szCs w:val="24"/>
        </w:rPr>
        <w:t>critical</w:t>
      </w:r>
      <w:r w:rsidR="0073062C">
        <w:rPr>
          <w:rFonts w:ascii="Avenir Next LT Pro" w:hAnsi="Avenir Next LT Pro"/>
          <w:sz w:val="24"/>
          <w:szCs w:val="24"/>
        </w:rPr>
        <w:t xml:space="preserve"> </w:t>
      </w:r>
      <w:r w:rsidR="007C2A68">
        <w:rPr>
          <w:rFonts w:ascii="Avenir Next LT Pro" w:hAnsi="Avenir Next LT Pro"/>
          <w:sz w:val="24"/>
          <w:szCs w:val="24"/>
        </w:rPr>
        <w:t xml:space="preserve">legislation </w:t>
      </w:r>
      <w:r w:rsidR="00E34D47">
        <w:rPr>
          <w:rFonts w:ascii="Avenir Next LT Pro" w:hAnsi="Avenir Next LT Pro"/>
          <w:sz w:val="24"/>
          <w:szCs w:val="24"/>
        </w:rPr>
        <w:t xml:space="preserve">to </w:t>
      </w:r>
      <w:r w:rsidR="007C2A68">
        <w:rPr>
          <w:rFonts w:ascii="Avenir Next LT Pro" w:hAnsi="Avenir Next LT Pro"/>
          <w:sz w:val="24"/>
          <w:szCs w:val="24"/>
        </w:rPr>
        <w:t xml:space="preserve">improve </w:t>
      </w:r>
      <w:r w:rsidR="0073062C">
        <w:rPr>
          <w:rFonts w:ascii="Avenir Next LT Pro" w:hAnsi="Avenir Next LT Pro"/>
          <w:sz w:val="24"/>
          <w:szCs w:val="24"/>
        </w:rPr>
        <w:t>immediate</w:t>
      </w:r>
      <w:r w:rsidR="007C2A68">
        <w:rPr>
          <w:rFonts w:ascii="Avenir Next LT Pro" w:hAnsi="Avenir Next LT Pro"/>
          <w:sz w:val="24"/>
          <w:szCs w:val="24"/>
        </w:rPr>
        <w:t xml:space="preserve"> best-interest determinations for children who enter foster care</w:t>
      </w:r>
      <w:r w:rsidR="00E76E1B">
        <w:rPr>
          <w:rFonts w:ascii="Avenir Next LT Pro" w:hAnsi="Avenir Next LT Pro"/>
          <w:sz w:val="24"/>
          <w:szCs w:val="24"/>
        </w:rPr>
        <w:t>,</w:t>
      </w:r>
      <w:r w:rsidR="0073062C">
        <w:rPr>
          <w:rFonts w:ascii="Avenir Next LT Pro" w:hAnsi="Avenir Next LT Pro"/>
          <w:sz w:val="24"/>
          <w:szCs w:val="24"/>
        </w:rPr>
        <w:t xml:space="preserve"> a</w:t>
      </w:r>
      <w:r w:rsidR="007531ED">
        <w:rPr>
          <w:rFonts w:ascii="Avenir Next LT Pro" w:hAnsi="Avenir Next LT Pro"/>
          <w:sz w:val="24"/>
          <w:szCs w:val="24"/>
        </w:rPr>
        <w:t>n</w:t>
      </w:r>
      <w:r w:rsidR="0073062C">
        <w:rPr>
          <w:rFonts w:ascii="Avenir Next LT Pro" w:hAnsi="Avenir Next LT Pro"/>
          <w:sz w:val="24"/>
          <w:szCs w:val="24"/>
        </w:rPr>
        <w:t>d</w:t>
      </w:r>
      <w:r w:rsidR="007C2A68">
        <w:rPr>
          <w:rFonts w:ascii="Avenir Next LT Pro" w:hAnsi="Avenir Next LT Pro"/>
          <w:sz w:val="24"/>
          <w:szCs w:val="24"/>
        </w:rPr>
        <w:t xml:space="preserve"> </w:t>
      </w:r>
      <w:r w:rsidR="00E76E1B">
        <w:rPr>
          <w:rFonts w:ascii="Avenir Next LT Pro" w:hAnsi="Avenir Next LT Pro"/>
          <w:sz w:val="24"/>
          <w:szCs w:val="24"/>
        </w:rPr>
        <w:t xml:space="preserve">you </w:t>
      </w:r>
      <w:r w:rsidR="00C3022F">
        <w:rPr>
          <w:rFonts w:ascii="Avenir Next LT Pro" w:hAnsi="Avenir Next LT Pro"/>
          <w:sz w:val="24"/>
          <w:szCs w:val="24"/>
        </w:rPr>
        <w:t xml:space="preserve">codified </w:t>
      </w:r>
      <w:r w:rsidR="0073062C">
        <w:rPr>
          <w:rFonts w:ascii="Avenir Next LT Pro" w:hAnsi="Avenir Next LT Pro"/>
          <w:sz w:val="24"/>
          <w:szCs w:val="24"/>
        </w:rPr>
        <w:t>the</w:t>
      </w:r>
      <w:r w:rsidR="00E34D47">
        <w:rPr>
          <w:rFonts w:ascii="Avenir Next LT Pro" w:hAnsi="Avenir Next LT Pro"/>
          <w:sz w:val="24"/>
          <w:szCs w:val="24"/>
        </w:rPr>
        <w:t xml:space="preserve"> presumption that children</w:t>
      </w:r>
      <w:r w:rsidR="00E76E1B">
        <w:rPr>
          <w:rFonts w:ascii="Avenir Next LT Pro" w:hAnsi="Avenir Next LT Pro"/>
          <w:sz w:val="24"/>
          <w:szCs w:val="24"/>
        </w:rPr>
        <w:t xml:space="preserve"> in foster care</w:t>
      </w:r>
      <w:r w:rsidR="00E34D47">
        <w:rPr>
          <w:rFonts w:ascii="Avenir Next LT Pro" w:hAnsi="Avenir Next LT Pro"/>
          <w:sz w:val="24"/>
          <w:szCs w:val="24"/>
        </w:rPr>
        <w:t xml:space="preserve"> remain in their school of origin</w:t>
      </w:r>
      <w:r w:rsidR="00C3022F">
        <w:rPr>
          <w:rFonts w:ascii="Avenir Next LT Pro" w:hAnsi="Avenir Next LT Pro"/>
          <w:sz w:val="24"/>
          <w:szCs w:val="24"/>
        </w:rPr>
        <w:t xml:space="preserve">. </w:t>
      </w:r>
      <w:r w:rsidR="00E34D47">
        <w:rPr>
          <w:rFonts w:ascii="Avenir Next LT Pro" w:hAnsi="Avenir Next LT Pro"/>
          <w:sz w:val="24"/>
          <w:szCs w:val="24"/>
        </w:rPr>
        <w:t xml:space="preserve"> </w:t>
      </w:r>
    </w:p>
    <w:p w14:paraId="0F78BD1E" w14:textId="55E025F0" w:rsidR="00133ADD" w:rsidRDefault="00E76E1B" w:rsidP="007C2A68">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We </w:t>
      </w:r>
      <w:r w:rsidR="0060352A">
        <w:rPr>
          <w:rFonts w:ascii="Avenir Next LT Pro" w:hAnsi="Avenir Next LT Pro"/>
          <w:sz w:val="24"/>
          <w:szCs w:val="24"/>
        </w:rPr>
        <w:t xml:space="preserve">expect </w:t>
      </w:r>
      <w:r w:rsidR="00E34D47">
        <w:rPr>
          <w:rFonts w:ascii="Avenir Next LT Pro" w:hAnsi="Avenir Next LT Pro"/>
          <w:sz w:val="24"/>
          <w:szCs w:val="24"/>
        </w:rPr>
        <w:t xml:space="preserve">more children </w:t>
      </w:r>
      <w:r>
        <w:rPr>
          <w:rFonts w:ascii="Avenir Next LT Pro" w:hAnsi="Avenir Next LT Pro"/>
          <w:sz w:val="24"/>
          <w:szCs w:val="24"/>
        </w:rPr>
        <w:t xml:space="preserve">will </w:t>
      </w:r>
      <w:r w:rsidR="0073062C">
        <w:rPr>
          <w:rFonts w:ascii="Avenir Next LT Pro" w:hAnsi="Avenir Next LT Pro"/>
          <w:sz w:val="24"/>
          <w:szCs w:val="24"/>
        </w:rPr>
        <w:t xml:space="preserve">benefit from </w:t>
      </w:r>
      <w:r w:rsidR="0060352A">
        <w:rPr>
          <w:rFonts w:ascii="Avenir Next LT Pro" w:hAnsi="Avenir Next LT Pro"/>
          <w:sz w:val="24"/>
          <w:szCs w:val="24"/>
        </w:rPr>
        <w:t xml:space="preserve">immediate </w:t>
      </w:r>
      <w:r w:rsidR="00A303C2">
        <w:rPr>
          <w:rFonts w:ascii="Avenir Next LT Pro" w:hAnsi="Avenir Next LT Pro"/>
          <w:sz w:val="24"/>
          <w:szCs w:val="24"/>
        </w:rPr>
        <w:t xml:space="preserve">best-interest determinations and </w:t>
      </w:r>
      <w:r w:rsidR="007531ED">
        <w:rPr>
          <w:rFonts w:ascii="Avenir Next LT Pro" w:hAnsi="Avenir Next LT Pro"/>
          <w:sz w:val="24"/>
          <w:szCs w:val="24"/>
        </w:rPr>
        <w:t>stay</w:t>
      </w:r>
      <w:r w:rsidR="00A303C2">
        <w:rPr>
          <w:rFonts w:ascii="Avenir Next LT Pro" w:hAnsi="Avenir Next LT Pro"/>
          <w:sz w:val="24"/>
          <w:szCs w:val="24"/>
        </w:rPr>
        <w:t xml:space="preserve"> </w:t>
      </w:r>
      <w:r w:rsidR="0044480D">
        <w:rPr>
          <w:rFonts w:ascii="Avenir Next LT Pro" w:hAnsi="Avenir Next LT Pro"/>
          <w:sz w:val="24"/>
          <w:szCs w:val="24"/>
        </w:rPr>
        <w:t xml:space="preserve">in </w:t>
      </w:r>
      <w:r w:rsidR="00E34D47">
        <w:rPr>
          <w:rFonts w:ascii="Avenir Next LT Pro" w:hAnsi="Avenir Next LT Pro"/>
          <w:sz w:val="24"/>
          <w:szCs w:val="24"/>
        </w:rPr>
        <w:t xml:space="preserve">familiar </w:t>
      </w:r>
      <w:r w:rsidR="00A303C2">
        <w:rPr>
          <w:rFonts w:ascii="Avenir Next LT Pro" w:hAnsi="Avenir Next LT Pro"/>
          <w:sz w:val="24"/>
          <w:szCs w:val="24"/>
        </w:rPr>
        <w:t xml:space="preserve">educational </w:t>
      </w:r>
      <w:r w:rsidR="00E34D47">
        <w:rPr>
          <w:rFonts w:ascii="Avenir Next LT Pro" w:hAnsi="Avenir Next LT Pro"/>
          <w:sz w:val="24"/>
          <w:szCs w:val="24"/>
        </w:rPr>
        <w:t>environments</w:t>
      </w:r>
      <w:r>
        <w:rPr>
          <w:rFonts w:ascii="Avenir Next LT Pro" w:hAnsi="Avenir Next LT Pro"/>
          <w:sz w:val="24"/>
          <w:szCs w:val="24"/>
        </w:rPr>
        <w:t xml:space="preserve">, but </w:t>
      </w:r>
      <w:r w:rsidR="0044480D">
        <w:rPr>
          <w:rFonts w:ascii="Avenir Next LT Pro" w:hAnsi="Avenir Next LT Pro"/>
          <w:sz w:val="24"/>
          <w:szCs w:val="24"/>
        </w:rPr>
        <w:t xml:space="preserve">some </w:t>
      </w:r>
      <w:r w:rsidR="00E34D47">
        <w:rPr>
          <w:rFonts w:ascii="Avenir Next LT Pro" w:hAnsi="Avenir Next LT Pro"/>
          <w:sz w:val="24"/>
          <w:szCs w:val="24"/>
        </w:rPr>
        <w:t xml:space="preserve">children </w:t>
      </w:r>
      <w:r w:rsidR="00A303C2">
        <w:rPr>
          <w:rFonts w:ascii="Avenir Next LT Pro" w:hAnsi="Avenir Next LT Pro"/>
          <w:sz w:val="24"/>
          <w:szCs w:val="24"/>
        </w:rPr>
        <w:t xml:space="preserve">will </w:t>
      </w:r>
      <w:r w:rsidR="0077757B">
        <w:rPr>
          <w:rFonts w:ascii="Avenir Next LT Pro" w:hAnsi="Avenir Next LT Pro"/>
          <w:sz w:val="24"/>
          <w:szCs w:val="24"/>
        </w:rPr>
        <w:lastRenderedPageBreak/>
        <w:t xml:space="preserve">still be transferred. </w:t>
      </w:r>
      <w:r>
        <w:rPr>
          <w:rFonts w:ascii="Avenir Next LT Pro" w:hAnsi="Avenir Next LT Pro"/>
          <w:sz w:val="24"/>
          <w:szCs w:val="24"/>
        </w:rPr>
        <w:t xml:space="preserve">Children in foster care can regrettably be more transient than their peers while in the state’s custody. </w:t>
      </w:r>
      <w:r w:rsidR="006A241A">
        <w:rPr>
          <w:rFonts w:ascii="Avenir Next LT Pro" w:hAnsi="Avenir Next LT Pro"/>
          <w:sz w:val="24"/>
          <w:szCs w:val="24"/>
        </w:rPr>
        <w:t>F</w:t>
      </w:r>
      <w:r w:rsidR="0077757B">
        <w:rPr>
          <w:rFonts w:ascii="Avenir Next LT Pro" w:hAnsi="Avenir Next LT Pro"/>
          <w:sz w:val="24"/>
          <w:szCs w:val="24"/>
        </w:rPr>
        <w:t>requent disruption</w:t>
      </w:r>
      <w:r w:rsidR="006A241A">
        <w:rPr>
          <w:rFonts w:ascii="Avenir Next LT Pro" w:hAnsi="Avenir Next LT Pro"/>
          <w:sz w:val="24"/>
          <w:szCs w:val="24"/>
        </w:rPr>
        <w:t>s</w:t>
      </w:r>
      <w:r w:rsidR="0077757B">
        <w:rPr>
          <w:rFonts w:ascii="Avenir Next LT Pro" w:hAnsi="Avenir Next LT Pro"/>
          <w:sz w:val="24"/>
          <w:szCs w:val="24"/>
        </w:rPr>
        <w:t xml:space="preserve"> can cause additional trauma</w:t>
      </w:r>
      <w:r w:rsidR="00C413FF">
        <w:rPr>
          <w:rFonts w:ascii="Avenir Next LT Pro" w:hAnsi="Avenir Next LT Pro"/>
          <w:sz w:val="24"/>
          <w:szCs w:val="24"/>
        </w:rPr>
        <w:t xml:space="preserve">, </w:t>
      </w:r>
      <w:r w:rsidR="0077757B">
        <w:rPr>
          <w:rFonts w:ascii="Avenir Next LT Pro" w:hAnsi="Avenir Next LT Pro"/>
          <w:sz w:val="24"/>
          <w:szCs w:val="24"/>
        </w:rPr>
        <w:t>and</w:t>
      </w:r>
      <w:r w:rsidR="00F57946">
        <w:rPr>
          <w:rFonts w:ascii="Avenir Next LT Pro" w:hAnsi="Avenir Next LT Pro"/>
          <w:sz w:val="24"/>
          <w:szCs w:val="24"/>
        </w:rPr>
        <w:t xml:space="preserve">, for </w:t>
      </w:r>
      <w:proofErr w:type="gramStart"/>
      <w:r w:rsidR="00F57946">
        <w:rPr>
          <w:rFonts w:ascii="Avenir Next LT Pro" w:hAnsi="Avenir Next LT Pro"/>
          <w:sz w:val="24"/>
          <w:szCs w:val="24"/>
        </w:rPr>
        <w:t>foster</w:t>
      </w:r>
      <w:proofErr w:type="gramEnd"/>
      <w:r w:rsidR="00F57946">
        <w:rPr>
          <w:rFonts w:ascii="Avenir Next LT Pro" w:hAnsi="Avenir Next LT Pro"/>
          <w:sz w:val="24"/>
          <w:szCs w:val="24"/>
        </w:rPr>
        <w:t xml:space="preserve"> youth in </w:t>
      </w:r>
      <w:r w:rsidR="006E0A90">
        <w:rPr>
          <w:rFonts w:ascii="Avenir Next LT Pro" w:hAnsi="Avenir Next LT Pro"/>
          <w:sz w:val="24"/>
          <w:szCs w:val="24"/>
        </w:rPr>
        <w:t>high school</w:t>
      </w:r>
      <w:r w:rsidR="00F57946">
        <w:rPr>
          <w:rFonts w:ascii="Avenir Next LT Pro" w:hAnsi="Avenir Next LT Pro"/>
          <w:sz w:val="24"/>
          <w:szCs w:val="24"/>
        </w:rPr>
        <w:t>, it can delay graduation</w:t>
      </w:r>
      <w:r w:rsidR="00C413FF">
        <w:rPr>
          <w:rFonts w:ascii="Avenir Next LT Pro" w:hAnsi="Avenir Next LT Pro"/>
          <w:sz w:val="24"/>
          <w:szCs w:val="24"/>
        </w:rPr>
        <w:t>, which has additional implications for young people’s transition into adulthood and the workforce</w:t>
      </w:r>
      <w:r w:rsidR="00133ADD">
        <w:rPr>
          <w:rFonts w:ascii="Avenir Next LT Pro" w:hAnsi="Avenir Next LT Pro"/>
          <w:sz w:val="24"/>
          <w:szCs w:val="24"/>
        </w:rPr>
        <w:t xml:space="preserve">. </w:t>
      </w:r>
    </w:p>
    <w:p w14:paraId="58FAA247" w14:textId="131C549D" w:rsidR="00B263AC" w:rsidRPr="00B263AC" w:rsidRDefault="00C413FF" w:rsidP="00B85242">
      <w:pPr>
        <w:spacing w:line="480" w:lineRule="auto"/>
        <w:jc w:val="both"/>
        <w:rPr>
          <w:rFonts w:ascii="Avenir Next LT Pro" w:hAnsi="Avenir Next LT Pro"/>
          <w:b/>
          <w:bCs/>
          <w:sz w:val="24"/>
          <w:szCs w:val="24"/>
        </w:rPr>
      </w:pPr>
      <w:r>
        <w:rPr>
          <w:rFonts w:ascii="Avenir Next LT Pro" w:hAnsi="Avenir Next LT Pro"/>
          <w:b/>
          <w:bCs/>
          <w:sz w:val="24"/>
          <w:szCs w:val="24"/>
        </w:rPr>
        <w:t>Solution</w:t>
      </w:r>
    </w:p>
    <w:p w14:paraId="08D84CBF" w14:textId="41E12A63" w:rsidR="00AF382B" w:rsidRPr="00AF382B" w:rsidRDefault="00AF382B" w:rsidP="00AF382B">
      <w:pPr>
        <w:spacing w:line="480" w:lineRule="auto"/>
        <w:ind w:firstLine="720"/>
        <w:jc w:val="both"/>
        <w:rPr>
          <w:rFonts w:ascii="Avenir Next LT Pro" w:hAnsi="Avenir Next LT Pro"/>
          <w:sz w:val="24"/>
          <w:szCs w:val="24"/>
        </w:rPr>
      </w:pPr>
      <w:r w:rsidRPr="00AF382B">
        <w:rPr>
          <w:rFonts w:ascii="Avenir Next LT Pro" w:hAnsi="Avenir Next LT Pro"/>
          <w:sz w:val="24"/>
          <w:szCs w:val="24"/>
        </w:rPr>
        <w:t>Arizona foster youth experience the lowest graduation rates of any demographic in the state, with just 4</w:t>
      </w:r>
      <w:r w:rsidR="00B85242">
        <w:rPr>
          <w:rFonts w:ascii="Avenir Next LT Pro" w:hAnsi="Avenir Next LT Pro"/>
          <w:sz w:val="24"/>
          <w:szCs w:val="24"/>
        </w:rPr>
        <w:t>0</w:t>
      </w:r>
      <w:r w:rsidRPr="00AF382B">
        <w:rPr>
          <w:rFonts w:ascii="Avenir Next LT Pro" w:hAnsi="Avenir Next LT Pro"/>
          <w:sz w:val="24"/>
          <w:szCs w:val="24"/>
        </w:rPr>
        <w:t xml:space="preserve">% of youth graduating in four years and </w:t>
      </w:r>
      <w:r w:rsidR="00B85242">
        <w:rPr>
          <w:rFonts w:ascii="Avenir Next LT Pro" w:hAnsi="Avenir Next LT Pro"/>
          <w:sz w:val="24"/>
          <w:szCs w:val="24"/>
        </w:rPr>
        <w:t>12</w:t>
      </w:r>
      <w:r w:rsidRPr="00AF382B">
        <w:rPr>
          <w:rFonts w:ascii="Avenir Next LT Pro" w:hAnsi="Avenir Next LT Pro"/>
          <w:sz w:val="24"/>
          <w:szCs w:val="24"/>
        </w:rPr>
        <w:t>% dropping out in 202</w:t>
      </w:r>
      <w:r w:rsidR="00B85242">
        <w:rPr>
          <w:rFonts w:ascii="Avenir Next LT Pro" w:hAnsi="Avenir Next LT Pro"/>
          <w:sz w:val="24"/>
          <w:szCs w:val="24"/>
        </w:rPr>
        <w:t>3</w:t>
      </w:r>
      <w:r w:rsidRPr="00AF382B">
        <w:rPr>
          <w:rFonts w:ascii="Avenir Next LT Pro" w:hAnsi="Avenir Next LT Pro"/>
          <w:sz w:val="24"/>
          <w:szCs w:val="24"/>
        </w:rPr>
        <w:t>.</w:t>
      </w:r>
      <w:r w:rsidRPr="00AF382B">
        <w:rPr>
          <w:rFonts w:ascii="Avenir Next LT Pro" w:hAnsi="Avenir Next LT Pro"/>
          <w:sz w:val="24"/>
          <w:szCs w:val="24"/>
          <w:vertAlign w:val="superscript"/>
        </w:rPr>
        <w:endnoteReference w:id="2"/>
      </w:r>
      <w:r w:rsidRPr="00AF382B">
        <w:rPr>
          <w:rFonts w:ascii="Avenir Next LT Pro" w:hAnsi="Avenir Next LT Pro"/>
          <w:sz w:val="24"/>
          <w:szCs w:val="24"/>
        </w:rPr>
        <w:t xml:space="preserve">  The five-year graduation rate is not much better, hovering around 4</w:t>
      </w:r>
      <w:r w:rsidR="00B85242">
        <w:rPr>
          <w:rFonts w:ascii="Avenir Next LT Pro" w:hAnsi="Avenir Next LT Pro"/>
          <w:sz w:val="24"/>
          <w:szCs w:val="24"/>
        </w:rPr>
        <w:t>4</w:t>
      </w:r>
      <w:r w:rsidRPr="00AF382B">
        <w:rPr>
          <w:rFonts w:ascii="Avenir Next LT Pro" w:hAnsi="Avenir Next LT Pro"/>
          <w:sz w:val="24"/>
          <w:szCs w:val="24"/>
        </w:rPr>
        <w:t>%.</w:t>
      </w:r>
      <w:r w:rsidRPr="00AF382B">
        <w:rPr>
          <w:rFonts w:ascii="Avenir Next LT Pro" w:hAnsi="Avenir Next LT Pro"/>
          <w:sz w:val="24"/>
          <w:szCs w:val="24"/>
          <w:vertAlign w:val="superscript"/>
        </w:rPr>
        <w:endnoteReference w:id="3"/>
      </w:r>
      <w:r w:rsidRPr="00AF382B">
        <w:rPr>
          <w:rFonts w:ascii="Avenir Next LT Pro" w:hAnsi="Avenir Next LT Pro"/>
          <w:sz w:val="24"/>
          <w:szCs w:val="24"/>
        </w:rPr>
        <w:t xml:space="preserve"> Students who enter foster care are struggling to complete their coursework and graduate in four or five years. </w:t>
      </w:r>
      <w:r w:rsidR="00B64C28">
        <w:rPr>
          <w:rFonts w:ascii="Avenir Next LT Pro" w:hAnsi="Avenir Next LT Pro"/>
          <w:sz w:val="24"/>
          <w:szCs w:val="24"/>
        </w:rPr>
        <w:t>As a state</w:t>
      </w:r>
      <w:r w:rsidR="00185473">
        <w:rPr>
          <w:rFonts w:ascii="Avenir Next LT Pro" w:hAnsi="Avenir Next LT Pro"/>
          <w:sz w:val="24"/>
          <w:szCs w:val="24"/>
        </w:rPr>
        <w:t>,</w:t>
      </w:r>
      <w:r w:rsidR="00B64C28">
        <w:rPr>
          <w:rFonts w:ascii="Avenir Next LT Pro" w:hAnsi="Avenir Next LT Pro"/>
          <w:sz w:val="24"/>
          <w:szCs w:val="24"/>
        </w:rPr>
        <w:t xml:space="preserve"> we must </w:t>
      </w:r>
      <w:r w:rsidR="00185473">
        <w:rPr>
          <w:rFonts w:ascii="Avenir Next LT Pro" w:hAnsi="Avenir Next LT Pro"/>
          <w:sz w:val="24"/>
          <w:szCs w:val="24"/>
        </w:rPr>
        <w:t>serve the</w:t>
      </w:r>
      <w:r w:rsidR="00C413FF">
        <w:rPr>
          <w:rFonts w:ascii="Avenir Next LT Pro" w:hAnsi="Avenir Next LT Pro"/>
          <w:sz w:val="24"/>
          <w:szCs w:val="24"/>
        </w:rPr>
        <w:t xml:space="preserve"> abused and neglected</w:t>
      </w:r>
      <w:r w:rsidR="00185473">
        <w:rPr>
          <w:rFonts w:ascii="Avenir Next LT Pro" w:hAnsi="Avenir Next LT Pro"/>
          <w:sz w:val="24"/>
          <w:szCs w:val="24"/>
        </w:rPr>
        <w:t xml:space="preserve"> children in our care better</w:t>
      </w:r>
      <w:r w:rsidR="00B64C28">
        <w:rPr>
          <w:rFonts w:ascii="Avenir Next LT Pro" w:hAnsi="Avenir Next LT Pro"/>
          <w:sz w:val="24"/>
          <w:szCs w:val="24"/>
        </w:rPr>
        <w:t>.</w:t>
      </w:r>
    </w:p>
    <w:p w14:paraId="2F7FFD32" w14:textId="70D62768" w:rsidR="003269D6" w:rsidRPr="003269D6" w:rsidRDefault="009D127C" w:rsidP="003269D6">
      <w:pPr>
        <w:spacing w:line="480" w:lineRule="auto"/>
        <w:ind w:firstLine="720"/>
        <w:jc w:val="both"/>
        <w:rPr>
          <w:rFonts w:ascii="Avenir Next LT Pro" w:hAnsi="Avenir Next LT Pro"/>
          <w:sz w:val="24"/>
          <w:szCs w:val="24"/>
          <w:highlight w:val="yellow"/>
        </w:rPr>
      </w:pPr>
      <w:r w:rsidRPr="009D127C">
        <w:rPr>
          <w:rFonts w:ascii="Avenir Next LT Pro" w:hAnsi="Avenir Next LT Pro"/>
          <w:sz w:val="24"/>
          <w:szCs w:val="24"/>
        </w:rPr>
        <w:t xml:space="preserve">Part of the reason for </w:t>
      </w:r>
      <w:r w:rsidR="00C413FF">
        <w:rPr>
          <w:rFonts w:ascii="Avenir Next LT Pro" w:hAnsi="Avenir Next LT Pro"/>
          <w:sz w:val="24"/>
          <w:szCs w:val="24"/>
        </w:rPr>
        <w:t xml:space="preserve">these regrettable </w:t>
      </w:r>
      <w:r w:rsidRPr="009D127C">
        <w:rPr>
          <w:rFonts w:ascii="Avenir Next LT Pro" w:hAnsi="Avenir Next LT Pro"/>
          <w:sz w:val="24"/>
          <w:szCs w:val="24"/>
        </w:rPr>
        <w:t xml:space="preserve">educational outcomes can be traced to </w:t>
      </w:r>
      <w:r w:rsidR="00C413FF">
        <w:rPr>
          <w:rFonts w:ascii="Avenir Next LT Pro" w:hAnsi="Avenir Next LT Pro"/>
          <w:sz w:val="24"/>
          <w:szCs w:val="24"/>
        </w:rPr>
        <w:t xml:space="preserve">frequent placement </w:t>
      </w:r>
      <w:r w:rsidRPr="009D127C">
        <w:rPr>
          <w:rFonts w:ascii="Avenir Next LT Pro" w:hAnsi="Avenir Next LT Pro"/>
          <w:sz w:val="24"/>
          <w:szCs w:val="24"/>
        </w:rPr>
        <w:t xml:space="preserve">disruptions </w:t>
      </w:r>
      <w:r w:rsidR="00C413FF">
        <w:rPr>
          <w:rFonts w:ascii="Avenir Next LT Pro" w:hAnsi="Avenir Next LT Pro"/>
          <w:sz w:val="24"/>
          <w:szCs w:val="24"/>
        </w:rPr>
        <w:t xml:space="preserve">while in the state’s custody </w:t>
      </w:r>
      <w:r w:rsidRPr="009D127C">
        <w:rPr>
          <w:rFonts w:ascii="Avenir Next LT Pro" w:hAnsi="Avenir Next LT Pro"/>
          <w:sz w:val="24"/>
          <w:szCs w:val="24"/>
        </w:rPr>
        <w:t xml:space="preserve">and </w:t>
      </w:r>
      <w:r w:rsidR="00475961">
        <w:rPr>
          <w:rFonts w:ascii="Avenir Next LT Pro" w:hAnsi="Avenir Next LT Pro"/>
          <w:sz w:val="24"/>
          <w:szCs w:val="24"/>
        </w:rPr>
        <w:t>their</w:t>
      </w:r>
      <w:r w:rsidRPr="009D127C">
        <w:rPr>
          <w:rFonts w:ascii="Avenir Next LT Pro" w:hAnsi="Avenir Next LT Pro"/>
          <w:sz w:val="24"/>
          <w:szCs w:val="24"/>
        </w:rPr>
        <w:t xml:space="preserve"> impact on </w:t>
      </w:r>
      <w:r w:rsidR="00C413FF">
        <w:rPr>
          <w:rFonts w:ascii="Avenir Next LT Pro" w:hAnsi="Avenir Next LT Pro"/>
          <w:sz w:val="24"/>
          <w:szCs w:val="24"/>
        </w:rPr>
        <w:t xml:space="preserve">abused and neglected </w:t>
      </w:r>
      <w:r w:rsidRPr="009D127C">
        <w:rPr>
          <w:rFonts w:ascii="Avenir Next LT Pro" w:hAnsi="Avenir Next LT Pro"/>
          <w:sz w:val="24"/>
          <w:szCs w:val="24"/>
        </w:rPr>
        <w:t xml:space="preserve">children’s educational attainment. </w:t>
      </w:r>
      <w:r w:rsidR="003269D6">
        <w:rPr>
          <w:rFonts w:ascii="Avenir Next LT Pro" w:hAnsi="Avenir Next LT Pro"/>
          <w:sz w:val="24"/>
          <w:szCs w:val="24"/>
        </w:rPr>
        <w:t>It is estimated that each school move can result in six months of lost earning.</w:t>
      </w:r>
      <w:r w:rsidR="003269D6">
        <w:rPr>
          <w:rStyle w:val="EndnoteReference"/>
          <w:rFonts w:ascii="Avenir Next LT Pro" w:hAnsi="Avenir Next LT Pro"/>
          <w:sz w:val="24"/>
          <w:szCs w:val="24"/>
        </w:rPr>
        <w:endnoteReference w:id="4"/>
      </w:r>
      <w:r w:rsidRPr="009D127C">
        <w:rPr>
          <w:rFonts w:ascii="Avenir Next LT Pro" w:hAnsi="Avenir Next LT Pro"/>
          <w:sz w:val="24"/>
          <w:szCs w:val="24"/>
        </w:rPr>
        <w:t xml:space="preserve"> </w:t>
      </w:r>
      <w:r w:rsidR="003269D6">
        <w:rPr>
          <w:rFonts w:ascii="Avenir Next LT Pro" w:hAnsi="Avenir Next LT Pro"/>
          <w:sz w:val="24"/>
          <w:szCs w:val="24"/>
        </w:rPr>
        <w:t xml:space="preserve">Children in foster care are particularly mobile. When compared to the general student body, </w:t>
      </w:r>
      <w:r w:rsidR="003269D6" w:rsidRPr="00E4400D">
        <w:rPr>
          <w:rFonts w:ascii="Avenir Next LT Pro" w:hAnsi="Avenir Next LT Pro"/>
          <w:sz w:val="24"/>
          <w:szCs w:val="24"/>
        </w:rPr>
        <w:t xml:space="preserve">“children in foster care </w:t>
      </w:r>
      <w:r w:rsidR="003269D6" w:rsidRPr="00E4400D">
        <w:rPr>
          <w:rFonts w:ascii="Avenir Next LT Pro" w:hAnsi="Avenir Next LT Pro"/>
          <w:sz w:val="24"/>
          <w:szCs w:val="24"/>
        </w:rPr>
        <w:t xml:space="preserve">… </w:t>
      </w:r>
      <w:r w:rsidR="003269D6" w:rsidRPr="00E4400D">
        <w:rPr>
          <w:rFonts w:ascii="Avenir Next LT Pro" w:hAnsi="Avenir Next LT Pro"/>
          <w:sz w:val="24"/>
          <w:szCs w:val="24"/>
        </w:rPr>
        <w:t>were approximately 6 times more likely to make multiple moves, and 4 times more likely to move during the school year and change school districts when they moved.”</w:t>
      </w:r>
      <w:r w:rsidR="003269D6" w:rsidRPr="00E4400D">
        <w:rPr>
          <w:rFonts w:ascii="Avenir Next LT Pro" w:hAnsi="Avenir Next LT Pro"/>
          <w:sz w:val="24"/>
          <w:szCs w:val="24"/>
          <w:vertAlign w:val="superscript"/>
        </w:rPr>
        <w:endnoteReference w:id="5"/>
      </w:r>
      <w:r w:rsidR="003269D6" w:rsidRPr="00E4400D">
        <w:rPr>
          <w:rFonts w:ascii="Avenir Next LT Pro" w:hAnsi="Avenir Next LT Pro"/>
          <w:sz w:val="24"/>
          <w:szCs w:val="24"/>
        </w:rPr>
        <w:t xml:space="preserve"> </w:t>
      </w:r>
    </w:p>
    <w:p w14:paraId="4715A350" w14:textId="2FCA7F66" w:rsidR="009D127C" w:rsidRPr="009D127C" w:rsidRDefault="009D127C" w:rsidP="009D127C">
      <w:pPr>
        <w:spacing w:line="480" w:lineRule="auto"/>
        <w:ind w:firstLine="720"/>
        <w:jc w:val="both"/>
        <w:rPr>
          <w:rFonts w:ascii="Avenir Next LT Pro" w:hAnsi="Avenir Next LT Pro"/>
          <w:sz w:val="24"/>
          <w:szCs w:val="24"/>
        </w:rPr>
      </w:pPr>
      <w:r w:rsidRPr="009D127C">
        <w:rPr>
          <w:rFonts w:ascii="Avenir Next LT Pro" w:hAnsi="Avenir Next LT Pro"/>
          <w:sz w:val="24"/>
          <w:szCs w:val="24"/>
        </w:rPr>
        <w:t>A</w:t>
      </w:r>
      <w:r>
        <w:rPr>
          <w:rFonts w:ascii="Avenir Next LT Pro" w:hAnsi="Avenir Next LT Pro"/>
          <w:sz w:val="24"/>
          <w:szCs w:val="24"/>
        </w:rPr>
        <w:t>nother</w:t>
      </w:r>
      <w:r w:rsidRPr="009D127C">
        <w:rPr>
          <w:rFonts w:ascii="Avenir Next LT Pro" w:hAnsi="Avenir Next LT Pro"/>
          <w:sz w:val="24"/>
          <w:szCs w:val="24"/>
        </w:rPr>
        <w:t xml:space="preserve"> study of 1,087 foster care alum</w:t>
      </w:r>
      <w:r w:rsidR="00475961">
        <w:rPr>
          <w:rFonts w:ascii="Avenir Next LT Pro" w:hAnsi="Avenir Next LT Pro"/>
          <w:sz w:val="24"/>
          <w:szCs w:val="24"/>
        </w:rPr>
        <w:t>s</w:t>
      </w:r>
      <w:r w:rsidRPr="009D127C">
        <w:rPr>
          <w:rFonts w:ascii="Avenir Next LT Pro" w:hAnsi="Avenir Next LT Pro"/>
          <w:sz w:val="24"/>
          <w:szCs w:val="24"/>
        </w:rPr>
        <w:t xml:space="preserve"> in 13 states showed that youth who experienced one </w:t>
      </w:r>
      <w:r w:rsidR="00475961">
        <w:rPr>
          <w:rFonts w:ascii="Avenir Next LT Pro" w:hAnsi="Avenir Next LT Pro"/>
          <w:sz w:val="24"/>
          <w:szCs w:val="24"/>
        </w:rPr>
        <w:t>less</w:t>
      </w:r>
      <w:r w:rsidRPr="009D127C">
        <w:rPr>
          <w:rFonts w:ascii="Avenir Next LT Pro" w:hAnsi="Avenir Next LT Pro"/>
          <w:sz w:val="24"/>
          <w:szCs w:val="24"/>
        </w:rPr>
        <w:t xml:space="preserve"> change in living arrangement per year were 1.8 times as likely to graduate from high school before leaving foster care.</w:t>
      </w:r>
      <w:r w:rsidRPr="009D127C">
        <w:rPr>
          <w:rFonts w:ascii="Avenir Next LT Pro" w:hAnsi="Avenir Next LT Pro"/>
          <w:sz w:val="24"/>
          <w:szCs w:val="24"/>
          <w:vertAlign w:val="superscript"/>
        </w:rPr>
        <w:endnoteReference w:id="6"/>
      </w:r>
    </w:p>
    <w:p w14:paraId="0BBA0CA9" w14:textId="7CE92486" w:rsidR="009D127C" w:rsidRPr="009D127C" w:rsidRDefault="009D127C" w:rsidP="009D127C">
      <w:pPr>
        <w:spacing w:line="480" w:lineRule="auto"/>
        <w:ind w:firstLine="720"/>
        <w:jc w:val="both"/>
        <w:rPr>
          <w:rFonts w:ascii="Avenir Next LT Pro" w:hAnsi="Avenir Next LT Pro"/>
          <w:sz w:val="24"/>
          <w:szCs w:val="24"/>
        </w:rPr>
      </w:pPr>
      <w:r w:rsidRPr="009D127C">
        <w:rPr>
          <w:rFonts w:ascii="Avenir Next LT Pro" w:hAnsi="Avenir Next LT Pro"/>
          <w:sz w:val="24"/>
          <w:szCs w:val="24"/>
        </w:rPr>
        <w:lastRenderedPageBreak/>
        <w:t xml:space="preserve"> </w:t>
      </w:r>
      <w:r w:rsidR="00241761">
        <w:rPr>
          <w:rFonts w:ascii="Avenir Next LT Pro" w:hAnsi="Avenir Next LT Pro"/>
          <w:sz w:val="24"/>
          <w:szCs w:val="24"/>
        </w:rPr>
        <w:t>T</w:t>
      </w:r>
      <w:r w:rsidRPr="009D127C">
        <w:rPr>
          <w:rFonts w:ascii="Avenir Next LT Pro" w:hAnsi="Avenir Next LT Pro"/>
          <w:sz w:val="24"/>
          <w:szCs w:val="24"/>
        </w:rPr>
        <w:t xml:space="preserve">hese students may </w:t>
      </w:r>
      <w:r w:rsidR="003B4F9F">
        <w:rPr>
          <w:rFonts w:ascii="Avenir Next LT Pro" w:hAnsi="Avenir Next LT Pro"/>
          <w:sz w:val="24"/>
          <w:szCs w:val="24"/>
        </w:rPr>
        <w:t xml:space="preserve">lack continuity in their instruction, </w:t>
      </w:r>
      <w:r w:rsidRPr="009D127C">
        <w:rPr>
          <w:rFonts w:ascii="Avenir Next LT Pro" w:hAnsi="Avenir Next LT Pro"/>
          <w:sz w:val="24"/>
          <w:szCs w:val="24"/>
        </w:rPr>
        <w:t>lose credit</w:t>
      </w:r>
      <w:r w:rsidR="003B4F9F">
        <w:rPr>
          <w:rFonts w:ascii="Avenir Next LT Pro" w:hAnsi="Avenir Next LT Pro"/>
          <w:sz w:val="24"/>
          <w:szCs w:val="24"/>
        </w:rPr>
        <w:t xml:space="preserve"> for partially completed coursework at previous schools, </w:t>
      </w:r>
      <w:r w:rsidR="00BC6A24">
        <w:rPr>
          <w:rFonts w:ascii="Avenir Next LT Pro" w:hAnsi="Avenir Next LT Pro"/>
          <w:sz w:val="24"/>
          <w:szCs w:val="24"/>
        </w:rPr>
        <w:t>or</w:t>
      </w:r>
      <w:r w:rsidR="00EF25F3">
        <w:rPr>
          <w:rFonts w:ascii="Avenir Next LT Pro" w:hAnsi="Avenir Next LT Pro"/>
          <w:sz w:val="24"/>
          <w:szCs w:val="24"/>
        </w:rPr>
        <w:t xml:space="preserve"> be aiming at a moving target due to changing graduation requirements from school to school</w:t>
      </w:r>
      <w:r w:rsidR="00BC6A24">
        <w:rPr>
          <w:rFonts w:ascii="Avenir Next LT Pro" w:hAnsi="Avenir Next LT Pro"/>
          <w:sz w:val="24"/>
          <w:szCs w:val="24"/>
        </w:rPr>
        <w:t xml:space="preserve">. </w:t>
      </w:r>
      <w:r w:rsidR="00EF25F3">
        <w:rPr>
          <w:rFonts w:ascii="Avenir Next LT Pro" w:hAnsi="Avenir Next LT Pro"/>
          <w:sz w:val="24"/>
          <w:szCs w:val="24"/>
        </w:rPr>
        <w:t>M</w:t>
      </w:r>
      <w:r w:rsidR="00E564F8" w:rsidRPr="009D127C">
        <w:rPr>
          <w:rFonts w:ascii="Avenir Next LT Pro" w:hAnsi="Avenir Next LT Pro"/>
          <w:sz w:val="24"/>
          <w:szCs w:val="24"/>
        </w:rPr>
        <w:t>aintaining</w:t>
      </w:r>
      <w:r w:rsidRPr="009D127C">
        <w:rPr>
          <w:rFonts w:ascii="Avenir Next LT Pro" w:hAnsi="Avenir Next LT Pro"/>
          <w:sz w:val="24"/>
          <w:szCs w:val="24"/>
        </w:rPr>
        <w:t xml:space="preserve"> children in their school of origin</w:t>
      </w:r>
      <w:r w:rsidR="00E564F8">
        <w:rPr>
          <w:rFonts w:ascii="Avenir Next LT Pro" w:hAnsi="Avenir Next LT Pro"/>
          <w:sz w:val="24"/>
          <w:szCs w:val="24"/>
        </w:rPr>
        <w:t xml:space="preserve"> mitigates some of the</w:t>
      </w:r>
      <w:r w:rsidR="0036535A">
        <w:rPr>
          <w:rFonts w:ascii="Avenir Next LT Pro" w:hAnsi="Avenir Next LT Pro"/>
          <w:sz w:val="24"/>
          <w:szCs w:val="24"/>
        </w:rPr>
        <w:t>se difficulties</w:t>
      </w:r>
      <w:r w:rsidRPr="009D127C">
        <w:rPr>
          <w:rFonts w:ascii="Avenir Next LT Pro" w:hAnsi="Avenir Next LT Pro"/>
          <w:sz w:val="24"/>
          <w:szCs w:val="24"/>
        </w:rPr>
        <w:t xml:space="preserve">. However, when it is in </w:t>
      </w:r>
      <w:r w:rsidR="00EF25F3">
        <w:rPr>
          <w:rFonts w:ascii="Avenir Next LT Pro" w:hAnsi="Avenir Next LT Pro"/>
          <w:sz w:val="24"/>
          <w:szCs w:val="24"/>
        </w:rPr>
        <w:t>a child's best interest</w:t>
      </w:r>
      <w:r w:rsidRPr="009D127C">
        <w:rPr>
          <w:rFonts w:ascii="Avenir Next LT Pro" w:hAnsi="Avenir Next LT Pro"/>
          <w:sz w:val="24"/>
          <w:szCs w:val="24"/>
        </w:rPr>
        <w:t xml:space="preserve"> to transfer schools, school systems need to minimize the impact on the child. </w:t>
      </w:r>
    </w:p>
    <w:p w14:paraId="3403EBA7" w14:textId="0A8E7A4E" w:rsidR="009D127C" w:rsidRDefault="009D127C" w:rsidP="009D127C">
      <w:pPr>
        <w:spacing w:line="480" w:lineRule="auto"/>
        <w:ind w:firstLine="720"/>
        <w:jc w:val="both"/>
        <w:rPr>
          <w:rFonts w:ascii="Avenir Next LT Pro" w:hAnsi="Avenir Next LT Pro"/>
          <w:sz w:val="24"/>
          <w:szCs w:val="24"/>
        </w:rPr>
      </w:pPr>
      <w:r w:rsidRPr="009D127C">
        <w:rPr>
          <w:rFonts w:ascii="Avenir Next LT Pro" w:hAnsi="Avenir Next LT Pro"/>
          <w:sz w:val="24"/>
          <w:szCs w:val="24"/>
        </w:rPr>
        <w:t xml:space="preserve">Failure to recognize and award credit for completed courses and coursework can contribute to delayed graduation and dropping out. The consequences of not completing high school can be dire and lifelong. Low educational attainment can lead to </w:t>
      </w:r>
      <w:r w:rsidR="00F40FE0">
        <w:rPr>
          <w:rFonts w:ascii="Avenir Next LT Pro" w:hAnsi="Avenir Next LT Pro"/>
          <w:sz w:val="24"/>
          <w:szCs w:val="24"/>
        </w:rPr>
        <w:t>long-term challenges, includ</w:t>
      </w:r>
      <w:r w:rsidRPr="009D127C">
        <w:rPr>
          <w:rFonts w:ascii="Avenir Next LT Pro" w:hAnsi="Avenir Next LT Pro"/>
          <w:sz w:val="24"/>
          <w:szCs w:val="24"/>
        </w:rPr>
        <w:t>ing unemployment, housing instability or homelessness, and poor health.</w:t>
      </w:r>
      <w:r w:rsidRPr="009D127C">
        <w:rPr>
          <w:rFonts w:ascii="Avenir Next LT Pro" w:hAnsi="Avenir Next LT Pro"/>
          <w:sz w:val="24"/>
          <w:szCs w:val="24"/>
          <w:vertAlign w:val="superscript"/>
        </w:rPr>
        <w:endnoteReference w:id="7"/>
      </w:r>
    </w:p>
    <w:p w14:paraId="60FE3DE0" w14:textId="1203F62E" w:rsidR="008F2717" w:rsidRDefault="008F2717" w:rsidP="009D127C">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This was the case for </w:t>
      </w:r>
      <w:r w:rsidR="002E0175">
        <w:rPr>
          <w:rFonts w:ascii="Avenir Next LT Pro" w:hAnsi="Avenir Next LT Pro"/>
          <w:sz w:val="24"/>
          <w:szCs w:val="24"/>
        </w:rPr>
        <w:t>Zeke, a</w:t>
      </w:r>
      <w:r>
        <w:rPr>
          <w:rFonts w:ascii="Avenir Next LT Pro" w:hAnsi="Avenir Next LT Pro"/>
          <w:sz w:val="24"/>
          <w:szCs w:val="24"/>
        </w:rPr>
        <w:t xml:space="preserve"> young man who exited foster care</w:t>
      </w:r>
      <w:r w:rsidR="00F40FE0">
        <w:rPr>
          <w:rFonts w:ascii="Avenir Next LT Pro" w:hAnsi="Avenir Next LT Pro"/>
          <w:sz w:val="24"/>
          <w:szCs w:val="24"/>
        </w:rPr>
        <w:t>.</w:t>
      </w:r>
      <w:r>
        <w:rPr>
          <w:rFonts w:ascii="Avenir Next LT Pro" w:hAnsi="Avenir Next LT Pro"/>
          <w:sz w:val="24"/>
          <w:szCs w:val="24"/>
        </w:rPr>
        <w:t xml:space="preserve"> </w:t>
      </w:r>
      <w:r w:rsidR="002E0175">
        <w:rPr>
          <w:rFonts w:ascii="Avenir Next LT Pro" w:hAnsi="Avenir Next LT Pro"/>
          <w:sz w:val="24"/>
          <w:szCs w:val="24"/>
        </w:rPr>
        <w:t xml:space="preserve">He </w:t>
      </w:r>
      <w:r w:rsidR="006E529E">
        <w:rPr>
          <w:rFonts w:ascii="Avenir Next LT Pro" w:hAnsi="Avenir Next LT Pro"/>
          <w:sz w:val="24"/>
          <w:szCs w:val="24"/>
        </w:rPr>
        <w:t>lived in 54 placements i</w:t>
      </w:r>
      <w:r w:rsidR="007D531E">
        <w:rPr>
          <w:rFonts w:ascii="Avenir Next LT Pro" w:hAnsi="Avenir Next LT Pro"/>
          <w:sz w:val="24"/>
          <w:szCs w:val="24"/>
        </w:rPr>
        <w:t>n the four years before he exited foster care at the age of 18.</w:t>
      </w:r>
      <w:r w:rsidR="006E529E">
        <w:rPr>
          <w:rFonts w:ascii="Avenir Next LT Pro" w:hAnsi="Avenir Next LT Pro"/>
          <w:sz w:val="24"/>
          <w:szCs w:val="24"/>
        </w:rPr>
        <w:t xml:space="preserve"> </w:t>
      </w:r>
      <w:r w:rsidR="002E0175">
        <w:rPr>
          <w:rFonts w:ascii="Avenir Next LT Pro" w:hAnsi="Avenir Next LT Pro"/>
          <w:sz w:val="24"/>
          <w:szCs w:val="24"/>
        </w:rPr>
        <w:t xml:space="preserve">Zeke </w:t>
      </w:r>
      <w:r w:rsidR="006E529E">
        <w:rPr>
          <w:rFonts w:ascii="Avenir Next LT Pro" w:hAnsi="Avenir Next LT Pro"/>
          <w:sz w:val="24"/>
          <w:szCs w:val="24"/>
        </w:rPr>
        <w:t xml:space="preserve">said, </w:t>
      </w:r>
      <w:r w:rsidR="006D4530" w:rsidRPr="006D4530">
        <w:rPr>
          <w:rFonts w:ascii="Avenir Next LT Pro" w:hAnsi="Avenir Next LT Pro"/>
          <w:sz w:val="24"/>
          <w:szCs w:val="24"/>
        </w:rPr>
        <w:t>“When I became a legal adult, I had not completed high school, had no job skills, and was generally hostile. Violence was my preferred way of solving problems.”</w:t>
      </w:r>
      <w:r w:rsidR="00476F32">
        <w:rPr>
          <w:rStyle w:val="EndnoteReference"/>
          <w:rFonts w:ascii="Avenir Next LT Pro" w:hAnsi="Avenir Next LT Pro"/>
          <w:sz w:val="24"/>
          <w:szCs w:val="24"/>
        </w:rPr>
        <w:endnoteReference w:id="8"/>
      </w:r>
    </w:p>
    <w:p w14:paraId="5809D0F2" w14:textId="788FFDAC" w:rsidR="004F4F87" w:rsidRDefault="00727243" w:rsidP="007C2A68">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HB 2645 will help </w:t>
      </w:r>
      <w:r w:rsidR="009052EF">
        <w:rPr>
          <w:rFonts w:ascii="Avenir Next LT Pro" w:hAnsi="Avenir Next LT Pro"/>
          <w:sz w:val="24"/>
          <w:szCs w:val="24"/>
        </w:rPr>
        <w:t>more foster youth</w:t>
      </w:r>
      <w:r w:rsidR="00006DD9">
        <w:rPr>
          <w:rFonts w:ascii="Avenir Next LT Pro" w:hAnsi="Avenir Next LT Pro"/>
          <w:sz w:val="24"/>
          <w:szCs w:val="24"/>
        </w:rPr>
        <w:t>, like</w:t>
      </w:r>
      <w:r w:rsidR="002E0175">
        <w:rPr>
          <w:rFonts w:ascii="Avenir Next LT Pro" w:hAnsi="Avenir Next LT Pro"/>
          <w:sz w:val="24"/>
          <w:szCs w:val="24"/>
        </w:rPr>
        <w:t xml:space="preserve"> Zeke</w:t>
      </w:r>
      <w:r w:rsidR="00006DD9">
        <w:rPr>
          <w:rFonts w:ascii="Avenir Next LT Pro" w:hAnsi="Avenir Next LT Pro"/>
          <w:sz w:val="24"/>
          <w:szCs w:val="24"/>
        </w:rPr>
        <w:t>,</w:t>
      </w:r>
      <w:r w:rsidR="009052EF">
        <w:rPr>
          <w:rFonts w:ascii="Avenir Next LT Pro" w:hAnsi="Avenir Next LT Pro"/>
          <w:sz w:val="24"/>
          <w:szCs w:val="24"/>
        </w:rPr>
        <w:t xml:space="preserve"> graduate on time with the knowledge and skills the</w:t>
      </w:r>
      <w:r w:rsidR="00006DD9">
        <w:rPr>
          <w:rFonts w:ascii="Avenir Next LT Pro" w:hAnsi="Avenir Next LT Pro"/>
          <w:sz w:val="24"/>
          <w:szCs w:val="24"/>
        </w:rPr>
        <w:t>y</w:t>
      </w:r>
      <w:r w:rsidR="009052EF">
        <w:rPr>
          <w:rFonts w:ascii="Avenir Next LT Pro" w:hAnsi="Avenir Next LT Pro"/>
          <w:sz w:val="24"/>
          <w:szCs w:val="24"/>
        </w:rPr>
        <w:t xml:space="preserve"> need to enter the workforce or pursue higher education </w:t>
      </w:r>
      <w:r>
        <w:rPr>
          <w:rFonts w:ascii="Avenir Next LT Pro" w:hAnsi="Avenir Next LT Pro"/>
          <w:sz w:val="24"/>
          <w:szCs w:val="24"/>
        </w:rPr>
        <w:t>by</w:t>
      </w:r>
      <w:r w:rsidR="004F4F87">
        <w:rPr>
          <w:rFonts w:ascii="Avenir Next LT Pro" w:hAnsi="Avenir Next LT Pro"/>
          <w:sz w:val="24"/>
          <w:szCs w:val="24"/>
        </w:rPr>
        <w:t>:</w:t>
      </w:r>
    </w:p>
    <w:p w14:paraId="562250DF" w14:textId="50601802" w:rsidR="00980086" w:rsidRDefault="00EB2D79" w:rsidP="004F4F87">
      <w:pPr>
        <w:pStyle w:val="ListParagraph"/>
        <w:numPr>
          <w:ilvl w:val="0"/>
          <w:numId w:val="5"/>
        </w:numPr>
        <w:spacing w:line="480" w:lineRule="auto"/>
        <w:jc w:val="both"/>
        <w:rPr>
          <w:rFonts w:ascii="Avenir Next LT Pro" w:hAnsi="Avenir Next LT Pro"/>
          <w:sz w:val="24"/>
          <w:szCs w:val="24"/>
        </w:rPr>
      </w:pPr>
      <w:r>
        <w:rPr>
          <w:rFonts w:ascii="Avenir Next LT Pro" w:hAnsi="Avenir Next LT Pro"/>
          <w:sz w:val="24"/>
          <w:szCs w:val="24"/>
        </w:rPr>
        <w:t>Establish</w:t>
      </w:r>
      <w:r w:rsidR="00006DD9">
        <w:rPr>
          <w:rFonts w:ascii="Avenir Next LT Pro" w:hAnsi="Avenir Next LT Pro"/>
          <w:sz w:val="24"/>
          <w:szCs w:val="24"/>
        </w:rPr>
        <w:t>ing</w:t>
      </w:r>
      <w:r>
        <w:rPr>
          <w:rFonts w:ascii="Avenir Next LT Pro" w:hAnsi="Avenir Next LT Pro"/>
          <w:sz w:val="24"/>
          <w:szCs w:val="24"/>
        </w:rPr>
        <w:t xml:space="preserve"> guidelines for schools to calculate partial credits</w:t>
      </w:r>
      <w:r w:rsidR="00980086">
        <w:rPr>
          <w:rFonts w:ascii="Avenir Next LT Pro" w:hAnsi="Avenir Next LT Pro"/>
          <w:sz w:val="24"/>
          <w:szCs w:val="24"/>
        </w:rPr>
        <w:t xml:space="preserve"> earned and subjects mastered</w:t>
      </w:r>
      <w:r w:rsidR="0045496E">
        <w:rPr>
          <w:rFonts w:ascii="Avenir Next LT Pro" w:hAnsi="Avenir Next LT Pro"/>
          <w:sz w:val="24"/>
          <w:szCs w:val="24"/>
        </w:rPr>
        <w:t>;</w:t>
      </w:r>
      <w:r w:rsidR="00980086">
        <w:rPr>
          <w:rFonts w:ascii="Avenir Next LT Pro" w:hAnsi="Avenir Next LT Pro"/>
          <w:sz w:val="24"/>
          <w:szCs w:val="24"/>
        </w:rPr>
        <w:t xml:space="preserve"> </w:t>
      </w:r>
    </w:p>
    <w:p w14:paraId="1CD6B383" w14:textId="55C26360" w:rsidR="001E0332" w:rsidRDefault="0005501F" w:rsidP="004F4F87">
      <w:pPr>
        <w:pStyle w:val="ListParagraph"/>
        <w:numPr>
          <w:ilvl w:val="0"/>
          <w:numId w:val="5"/>
        </w:numPr>
        <w:spacing w:line="480" w:lineRule="auto"/>
        <w:jc w:val="both"/>
        <w:rPr>
          <w:rFonts w:ascii="Avenir Next LT Pro" w:hAnsi="Avenir Next LT Pro"/>
          <w:sz w:val="24"/>
          <w:szCs w:val="24"/>
        </w:rPr>
      </w:pPr>
      <w:r>
        <w:rPr>
          <w:rFonts w:ascii="Avenir Next LT Pro" w:hAnsi="Avenir Next LT Pro"/>
          <w:sz w:val="24"/>
          <w:szCs w:val="24"/>
        </w:rPr>
        <w:t>Prioritiz</w:t>
      </w:r>
      <w:r w:rsidR="00006DD9">
        <w:rPr>
          <w:rFonts w:ascii="Avenir Next LT Pro" w:hAnsi="Avenir Next LT Pro"/>
          <w:sz w:val="24"/>
          <w:szCs w:val="24"/>
        </w:rPr>
        <w:t>ing</w:t>
      </w:r>
      <w:r>
        <w:rPr>
          <w:rFonts w:ascii="Avenir Next LT Pro" w:hAnsi="Avenir Next LT Pro"/>
          <w:sz w:val="24"/>
          <w:szCs w:val="24"/>
        </w:rPr>
        <w:t xml:space="preserve"> transfer credits</w:t>
      </w:r>
      <w:r w:rsidR="00854F64">
        <w:rPr>
          <w:rFonts w:ascii="Avenir Next LT Pro" w:hAnsi="Avenir Next LT Pro"/>
          <w:sz w:val="24"/>
          <w:szCs w:val="24"/>
        </w:rPr>
        <w:t xml:space="preserve"> </w:t>
      </w:r>
      <w:r w:rsidR="0006368E">
        <w:rPr>
          <w:rFonts w:ascii="Avenir Next LT Pro" w:hAnsi="Avenir Next LT Pro"/>
          <w:sz w:val="24"/>
          <w:szCs w:val="24"/>
        </w:rPr>
        <w:t xml:space="preserve">as </w:t>
      </w:r>
      <w:r w:rsidR="00854F64">
        <w:rPr>
          <w:rFonts w:ascii="Avenir Next LT Pro" w:hAnsi="Avenir Next LT Pro"/>
          <w:sz w:val="24"/>
          <w:szCs w:val="24"/>
        </w:rPr>
        <w:t xml:space="preserve">core </w:t>
      </w:r>
      <w:r w:rsidR="0006368E">
        <w:rPr>
          <w:rFonts w:ascii="Avenir Next LT Pro" w:hAnsi="Avenir Next LT Pro"/>
          <w:sz w:val="24"/>
          <w:szCs w:val="24"/>
        </w:rPr>
        <w:t>credits</w:t>
      </w:r>
      <w:r w:rsidR="0045496E">
        <w:rPr>
          <w:rFonts w:ascii="Avenir Next LT Pro" w:hAnsi="Avenir Next LT Pro"/>
          <w:sz w:val="24"/>
          <w:szCs w:val="24"/>
        </w:rPr>
        <w:t xml:space="preserve">; </w:t>
      </w:r>
    </w:p>
    <w:p w14:paraId="3D3A517E" w14:textId="75433B8E" w:rsidR="0006368E" w:rsidRDefault="001E0332" w:rsidP="004F4F87">
      <w:pPr>
        <w:pStyle w:val="ListParagraph"/>
        <w:numPr>
          <w:ilvl w:val="0"/>
          <w:numId w:val="5"/>
        </w:numPr>
        <w:spacing w:line="480" w:lineRule="auto"/>
        <w:jc w:val="both"/>
        <w:rPr>
          <w:rFonts w:ascii="Avenir Next LT Pro" w:hAnsi="Avenir Next LT Pro"/>
          <w:sz w:val="24"/>
          <w:szCs w:val="24"/>
        </w:rPr>
      </w:pPr>
      <w:r>
        <w:rPr>
          <w:rFonts w:ascii="Avenir Next LT Pro" w:hAnsi="Avenir Next LT Pro"/>
          <w:sz w:val="24"/>
          <w:szCs w:val="24"/>
        </w:rPr>
        <w:t>Stop</w:t>
      </w:r>
      <w:r w:rsidR="00006DD9">
        <w:rPr>
          <w:rFonts w:ascii="Avenir Next LT Pro" w:hAnsi="Avenir Next LT Pro"/>
          <w:sz w:val="24"/>
          <w:szCs w:val="24"/>
        </w:rPr>
        <w:t xml:space="preserve">ping </w:t>
      </w:r>
      <w:r>
        <w:rPr>
          <w:rFonts w:ascii="Avenir Next LT Pro" w:hAnsi="Avenir Next LT Pro"/>
          <w:sz w:val="24"/>
          <w:szCs w:val="24"/>
        </w:rPr>
        <w:t xml:space="preserve">the moving target by tying graduation requirements to the minimum set by the state board of education; </w:t>
      </w:r>
      <w:r w:rsidR="0045496E">
        <w:rPr>
          <w:rFonts w:ascii="Avenir Next LT Pro" w:hAnsi="Avenir Next LT Pro"/>
          <w:sz w:val="24"/>
          <w:szCs w:val="24"/>
        </w:rPr>
        <w:t xml:space="preserve">and </w:t>
      </w:r>
    </w:p>
    <w:p w14:paraId="10B2D0DD" w14:textId="1E0AFEDD" w:rsidR="009F67AB" w:rsidRDefault="0045496E" w:rsidP="004F4F87">
      <w:pPr>
        <w:pStyle w:val="ListParagraph"/>
        <w:numPr>
          <w:ilvl w:val="0"/>
          <w:numId w:val="5"/>
        </w:numPr>
        <w:spacing w:line="480" w:lineRule="auto"/>
        <w:jc w:val="both"/>
        <w:rPr>
          <w:rFonts w:ascii="Avenir Next LT Pro" w:hAnsi="Avenir Next LT Pro"/>
          <w:sz w:val="24"/>
          <w:szCs w:val="24"/>
        </w:rPr>
      </w:pPr>
      <w:r>
        <w:rPr>
          <w:rFonts w:ascii="Avenir Next LT Pro" w:hAnsi="Avenir Next LT Pro"/>
          <w:sz w:val="24"/>
          <w:szCs w:val="24"/>
        </w:rPr>
        <w:lastRenderedPageBreak/>
        <w:t xml:space="preserve">Working with </w:t>
      </w:r>
      <w:r w:rsidR="009B14D9">
        <w:rPr>
          <w:rFonts w:ascii="Avenir Next LT Pro" w:hAnsi="Avenir Next LT Pro"/>
          <w:sz w:val="24"/>
          <w:szCs w:val="24"/>
        </w:rPr>
        <w:t xml:space="preserve">foster </w:t>
      </w:r>
      <w:r>
        <w:rPr>
          <w:rFonts w:ascii="Avenir Next LT Pro" w:hAnsi="Avenir Next LT Pro"/>
          <w:sz w:val="24"/>
          <w:szCs w:val="24"/>
        </w:rPr>
        <w:t>youth</w:t>
      </w:r>
      <w:r w:rsidR="009B14D9">
        <w:rPr>
          <w:rFonts w:ascii="Avenir Next LT Pro" w:hAnsi="Avenir Next LT Pro"/>
          <w:sz w:val="24"/>
          <w:szCs w:val="24"/>
        </w:rPr>
        <w:t xml:space="preserve"> to develop a graduation plan</w:t>
      </w:r>
      <w:r w:rsidR="001E0332">
        <w:rPr>
          <w:rFonts w:ascii="Avenir Next LT Pro" w:hAnsi="Avenir Next LT Pro"/>
          <w:sz w:val="24"/>
          <w:szCs w:val="24"/>
        </w:rPr>
        <w:t xml:space="preserve"> to </w:t>
      </w:r>
      <w:r w:rsidR="00F44D54">
        <w:rPr>
          <w:rFonts w:ascii="Avenir Next LT Pro" w:hAnsi="Avenir Next LT Pro"/>
          <w:sz w:val="24"/>
          <w:szCs w:val="24"/>
        </w:rPr>
        <w:t xml:space="preserve">bring </w:t>
      </w:r>
      <w:r w:rsidR="001E0332">
        <w:rPr>
          <w:rFonts w:ascii="Avenir Next LT Pro" w:hAnsi="Avenir Next LT Pro"/>
          <w:sz w:val="24"/>
          <w:szCs w:val="24"/>
        </w:rPr>
        <w:t xml:space="preserve">graduation </w:t>
      </w:r>
      <w:r w:rsidR="00F44D54">
        <w:rPr>
          <w:rFonts w:ascii="Avenir Next LT Pro" w:hAnsi="Avenir Next LT Pro"/>
          <w:sz w:val="24"/>
          <w:szCs w:val="24"/>
        </w:rPr>
        <w:t>within reach</w:t>
      </w:r>
      <w:r w:rsidR="002E0175">
        <w:rPr>
          <w:rFonts w:ascii="Avenir Next LT Pro" w:hAnsi="Avenir Next LT Pro"/>
          <w:sz w:val="24"/>
          <w:szCs w:val="24"/>
        </w:rPr>
        <w:t xml:space="preserve">. </w:t>
      </w:r>
    </w:p>
    <w:p w14:paraId="5015CDBA" w14:textId="26E025D9" w:rsidR="00F44D54" w:rsidRDefault="00433F8F" w:rsidP="00F44D54">
      <w:pPr>
        <w:spacing w:line="480" w:lineRule="auto"/>
        <w:jc w:val="both"/>
        <w:rPr>
          <w:rFonts w:ascii="Avenir Next LT Pro" w:hAnsi="Avenir Next LT Pro"/>
          <w:sz w:val="24"/>
          <w:szCs w:val="24"/>
        </w:rPr>
      </w:pPr>
      <w:r>
        <w:rPr>
          <w:rFonts w:ascii="Avenir Next LT Pro" w:hAnsi="Avenir Next LT Pro"/>
          <w:sz w:val="24"/>
          <w:szCs w:val="24"/>
        </w:rPr>
        <w:t>For these reasons, we ask for your support for HB 2645</w:t>
      </w:r>
      <w:r w:rsidR="002E0175">
        <w:rPr>
          <w:rFonts w:ascii="Avenir Next LT Pro" w:hAnsi="Avenir Next LT Pro"/>
          <w:sz w:val="24"/>
          <w:szCs w:val="24"/>
        </w:rPr>
        <w:t xml:space="preserve">. Thank you. </w:t>
      </w:r>
    </w:p>
    <w:p w14:paraId="68891A20" w14:textId="77777777" w:rsidR="00E61C81" w:rsidRDefault="00E61C81" w:rsidP="00F44D54">
      <w:pPr>
        <w:spacing w:line="480" w:lineRule="auto"/>
        <w:jc w:val="both"/>
        <w:rPr>
          <w:rFonts w:ascii="Avenir Next LT Pro" w:hAnsi="Avenir Next LT Pro"/>
          <w:sz w:val="24"/>
          <w:szCs w:val="24"/>
        </w:rPr>
      </w:pPr>
    </w:p>
    <w:p w14:paraId="42D6EB24" w14:textId="77777777" w:rsidR="00E61C81" w:rsidRDefault="00E61C81" w:rsidP="00F44D54">
      <w:pPr>
        <w:spacing w:line="480" w:lineRule="auto"/>
        <w:jc w:val="both"/>
        <w:rPr>
          <w:rFonts w:ascii="Avenir Next LT Pro" w:hAnsi="Avenir Next LT Pro"/>
          <w:sz w:val="24"/>
          <w:szCs w:val="24"/>
        </w:rPr>
      </w:pPr>
    </w:p>
    <w:p w14:paraId="50DB4E55" w14:textId="77777777" w:rsidR="00E61C81" w:rsidRDefault="00E61C81" w:rsidP="00F44D54">
      <w:pPr>
        <w:spacing w:line="480" w:lineRule="auto"/>
        <w:jc w:val="both"/>
        <w:rPr>
          <w:rFonts w:ascii="Avenir Next LT Pro" w:hAnsi="Avenir Next LT Pro"/>
          <w:sz w:val="24"/>
          <w:szCs w:val="24"/>
        </w:rPr>
      </w:pPr>
    </w:p>
    <w:p w14:paraId="7122EA2E" w14:textId="3E0287BC" w:rsidR="00E61C81" w:rsidRPr="004C524B" w:rsidRDefault="00E61C81" w:rsidP="00F44D54">
      <w:pPr>
        <w:spacing w:line="480" w:lineRule="auto"/>
        <w:jc w:val="both"/>
        <w:rPr>
          <w:rFonts w:ascii="Avenir Next LT Pro" w:hAnsi="Avenir Next LT Pro"/>
          <w:b/>
          <w:bCs/>
          <w:sz w:val="24"/>
          <w:szCs w:val="24"/>
        </w:rPr>
      </w:pPr>
      <w:r w:rsidRPr="004C524B">
        <w:rPr>
          <w:rFonts w:ascii="Avenir Next LT Pro" w:hAnsi="Avenir Next LT Pro"/>
          <w:b/>
          <w:bCs/>
          <w:sz w:val="24"/>
          <w:szCs w:val="24"/>
        </w:rPr>
        <w:t>Frequently Asked Questions</w:t>
      </w:r>
    </w:p>
    <w:sectPr w:rsidR="00E61C81" w:rsidRPr="004C524B" w:rsidSect="00137E9A">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5D5CE" w14:textId="77777777" w:rsidR="00137E9A" w:rsidRDefault="00137E9A" w:rsidP="00036503">
      <w:r>
        <w:separator/>
      </w:r>
    </w:p>
  </w:endnote>
  <w:endnote w:type="continuationSeparator" w:id="0">
    <w:p w14:paraId="1B3C11C5" w14:textId="77777777" w:rsidR="00137E9A" w:rsidRDefault="00137E9A" w:rsidP="00036503">
      <w:r>
        <w:continuationSeparator/>
      </w:r>
    </w:p>
  </w:endnote>
  <w:endnote w:type="continuationNotice" w:id="1">
    <w:p w14:paraId="274C88C6" w14:textId="77777777" w:rsidR="00137E9A" w:rsidRDefault="00137E9A">
      <w:pPr>
        <w:spacing w:after="0" w:line="240" w:lineRule="auto"/>
      </w:pPr>
    </w:p>
  </w:endnote>
  <w:endnote w:id="2">
    <w:p w14:paraId="6D04DEC0" w14:textId="7E7D6F25" w:rsidR="00AF382B" w:rsidRPr="00B85242" w:rsidRDefault="00AF382B" w:rsidP="00AF382B">
      <w:pPr>
        <w:pStyle w:val="EndnoteText"/>
        <w:rPr>
          <w:rFonts w:ascii="Avenir Next LT Pro" w:hAnsi="Avenir Next LT Pro" w:cstheme="minorHAnsi"/>
        </w:rPr>
      </w:pPr>
      <w:r w:rsidRPr="00B85242">
        <w:rPr>
          <w:rStyle w:val="EndnoteReference"/>
          <w:rFonts w:ascii="Avenir Next LT Pro" w:hAnsi="Avenir Next LT Pro" w:cstheme="minorHAnsi"/>
        </w:rPr>
        <w:endnoteRef/>
      </w:r>
      <w:r w:rsidRPr="00B85242">
        <w:rPr>
          <w:rFonts w:ascii="Avenir Next LT Pro" w:hAnsi="Avenir Next LT Pro" w:cstheme="minorHAnsi"/>
        </w:rPr>
        <w:t xml:space="preserve"> </w:t>
      </w:r>
      <w:r w:rsidR="00B85242" w:rsidRPr="00B85242">
        <w:rPr>
          <w:rFonts w:ascii="Avenir Next LT Pro" w:hAnsi="Avenir Next LT Pro" w:cstheme="minorHAnsi"/>
        </w:rPr>
        <w:t xml:space="preserve">Ariz. </w:t>
      </w:r>
      <w:proofErr w:type="spellStart"/>
      <w:r w:rsidR="00B85242" w:rsidRPr="00B85242">
        <w:rPr>
          <w:rFonts w:ascii="Avenir Next LT Pro" w:hAnsi="Avenir Next LT Pro" w:cstheme="minorHAnsi"/>
        </w:rPr>
        <w:t>Dep’t</w:t>
      </w:r>
      <w:proofErr w:type="spellEnd"/>
      <w:r w:rsidR="00B85242" w:rsidRPr="00B85242">
        <w:rPr>
          <w:rFonts w:ascii="Avenir Next LT Pro" w:hAnsi="Avenir Next LT Pro" w:cstheme="minorHAnsi"/>
        </w:rPr>
        <w:t xml:space="preserve"> of Educ., </w:t>
      </w:r>
      <w:r w:rsidR="00B85242" w:rsidRPr="00B85242">
        <w:rPr>
          <w:rFonts w:ascii="Avenir Next LT Pro" w:hAnsi="Avenir Next LT Pro" w:cstheme="minorHAnsi"/>
          <w:i/>
          <w:iCs/>
        </w:rPr>
        <w:t>AZ School Report Cards</w:t>
      </w:r>
      <w:r w:rsidR="00B85242" w:rsidRPr="00B85242">
        <w:rPr>
          <w:rFonts w:ascii="Avenir Next LT Pro" w:hAnsi="Avenir Next LT Pro" w:cstheme="minorHAnsi"/>
        </w:rPr>
        <w:t>,</w:t>
      </w:r>
      <w:r w:rsidR="00B85242" w:rsidRPr="00B85242">
        <w:rPr>
          <w:rFonts w:ascii="Avenir Next LT Pro" w:hAnsi="Avenir Next LT Pro" w:cstheme="minorHAnsi"/>
          <w:i/>
          <w:iCs/>
        </w:rPr>
        <w:t xml:space="preserve"> </w:t>
      </w:r>
      <w:r w:rsidR="00B85242" w:rsidRPr="00B85242">
        <w:rPr>
          <w:rFonts w:ascii="Avenir Next LT Pro" w:hAnsi="Avenir Next LT Pro" w:cstheme="minorHAnsi"/>
        </w:rPr>
        <w:t>Four Year Graduation Rate,</w:t>
      </w:r>
      <w:r w:rsidR="00B85242">
        <w:rPr>
          <w:rFonts w:ascii="Avenir Next LT Pro" w:hAnsi="Avenir Next LT Pro" w:cstheme="minorHAnsi"/>
        </w:rPr>
        <w:t xml:space="preserve"> </w:t>
      </w:r>
      <w:hyperlink r:id="rId1" w:history="1">
        <w:r w:rsidR="00B85242" w:rsidRPr="00EC179A">
          <w:rPr>
            <w:rStyle w:val="Hyperlink"/>
            <w:rFonts w:ascii="Avenir Next LT Pro" w:hAnsi="Avenir Next LT Pro" w:cstheme="minorHAnsi"/>
          </w:rPr>
          <w:t>https://azrepo</w:t>
        </w:r>
        <w:r w:rsidR="00B85242" w:rsidRPr="00EC179A">
          <w:rPr>
            <w:rStyle w:val="Hyperlink"/>
            <w:rFonts w:ascii="Avenir Next LT Pro" w:hAnsi="Avenir Next LT Pro" w:cstheme="minorHAnsi"/>
          </w:rPr>
          <w:t>r</w:t>
        </w:r>
        <w:r w:rsidR="00B85242" w:rsidRPr="00EC179A">
          <w:rPr>
            <w:rStyle w:val="Hyperlink"/>
            <w:rFonts w:ascii="Avenir Next LT Pro" w:hAnsi="Avenir Next LT Pro" w:cstheme="minorHAnsi"/>
          </w:rPr>
          <w:t>tcards.azed.gov/state-reports</w:t>
        </w:r>
      </w:hyperlink>
      <w:r w:rsidR="00B85242" w:rsidRPr="00B85242">
        <w:rPr>
          <w:rFonts w:ascii="Avenir Next LT Pro" w:hAnsi="Avenir Next LT Pro" w:cstheme="minorHAnsi"/>
        </w:rPr>
        <w:t xml:space="preserve"> (last visited </w:t>
      </w:r>
      <w:r w:rsidR="00B85242">
        <w:rPr>
          <w:rFonts w:ascii="Avenir Next LT Pro" w:hAnsi="Avenir Next LT Pro" w:cstheme="minorHAnsi"/>
        </w:rPr>
        <w:t>January 26</w:t>
      </w:r>
      <w:r w:rsidR="00B85242" w:rsidRPr="00B85242">
        <w:rPr>
          <w:rFonts w:ascii="Avenir Next LT Pro" w:hAnsi="Avenir Next LT Pro" w:cstheme="minorHAnsi"/>
        </w:rPr>
        <w:t>, 202</w:t>
      </w:r>
      <w:r w:rsidR="00B85242">
        <w:rPr>
          <w:rFonts w:ascii="Avenir Next LT Pro" w:hAnsi="Avenir Next LT Pro" w:cstheme="minorHAnsi"/>
        </w:rPr>
        <w:t>4</w:t>
      </w:r>
      <w:r w:rsidR="00B85242" w:rsidRPr="00B85242">
        <w:rPr>
          <w:rFonts w:ascii="Avenir Next LT Pro" w:hAnsi="Avenir Next LT Pro" w:cstheme="minorHAnsi"/>
        </w:rPr>
        <w:t>).</w:t>
      </w:r>
    </w:p>
  </w:endnote>
  <w:endnote w:id="3">
    <w:p w14:paraId="6EE261C2" w14:textId="7CC2CB8C" w:rsidR="00AF382B" w:rsidRPr="00B85242" w:rsidRDefault="00AF382B" w:rsidP="00AF382B">
      <w:pPr>
        <w:pStyle w:val="EndnoteText"/>
        <w:rPr>
          <w:rFonts w:ascii="Avenir Next LT Pro" w:hAnsi="Avenir Next LT Pro" w:cstheme="minorHAnsi"/>
        </w:rPr>
      </w:pPr>
      <w:r w:rsidRPr="00B85242">
        <w:rPr>
          <w:rStyle w:val="EndnoteReference"/>
          <w:rFonts w:ascii="Avenir Next LT Pro" w:hAnsi="Avenir Next LT Pro" w:cstheme="minorHAnsi"/>
        </w:rPr>
        <w:endnoteRef/>
      </w:r>
      <w:r w:rsidRPr="00B85242">
        <w:rPr>
          <w:rFonts w:ascii="Avenir Next LT Pro" w:hAnsi="Avenir Next LT Pro" w:cstheme="minorHAnsi"/>
        </w:rPr>
        <w:t xml:space="preserve"> Ariz. Dep’t of Educ., </w:t>
      </w:r>
      <w:r w:rsidRPr="00B85242">
        <w:rPr>
          <w:rFonts w:ascii="Avenir Next LT Pro" w:hAnsi="Avenir Next LT Pro" w:cstheme="minorHAnsi"/>
          <w:i/>
          <w:iCs/>
        </w:rPr>
        <w:t>Accountability and Research Data</w:t>
      </w:r>
      <w:r w:rsidRPr="00B85242">
        <w:rPr>
          <w:rFonts w:ascii="Avenir Next LT Pro" w:hAnsi="Avenir Next LT Pro" w:cstheme="minorHAnsi"/>
        </w:rPr>
        <w:t xml:space="preserve">, Cohort 2021 Five Year Graduation Rate Data, </w:t>
      </w:r>
      <w:hyperlink r:id="rId2" w:history="1">
        <w:r w:rsidRPr="00B85242">
          <w:rPr>
            <w:rStyle w:val="Hyperlink"/>
            <w:rFonts w:ascii="Avenir Next LT Pro" w:hAnsi="Avenir Next LT Pro" w:cstheme="minorHAnsi"/>
          </w:rPr>
          <w:t>https://www.aze</w:t>
        </w:r>
        <w:r w:rsidRPr="00B85242">
          <w:rPr>
            <w:rStyle w:val="Hyperlink"/>
            <w:rFonts w:ascii="Avenir Next LT Pro" w:hAnsi="Avenir Next LT Pro" w:cstheme="minorHAnsi"/>
          </w:rPr>
          <w:t>d</w:t>
        </w:r>
        <w:r w:rsidRPr="00B85242">
          <w:rPr>
            <w:rStyle w:val="Hyperlink"/>
            <w:rFonts w:ascii="Avenir Next LT Pro" w:hAnsi="Avenir Next LT Pro" w:cstheme="minorHAnsi"/>
          </w:rPr>
          <w:t>.gov/accountability-research/data/</w:t>
        </w:r>
      </w:hyperlink>
      <w:r w:rsidRPr="00B85242">
        <w:rPr>
          <w:rFonts w:ascii="Avenir Next LT Pro" w:hAnsi="Avenir Next LT Pro" w:cstheme="minorHAnsi"/>
        </w:rPr>
        <w:t xml:space="preserve"> (last visited </w:t>
      </w:r>
      <w:r w:rsidR="00B85242">
        <w:rPr>
          <w:rFonts w:ascii="Avenir Next LT Pro" w:hAnsi="Avenir Next LT Pro" w:cstheme="minorHAnsi"/>
        </w:rPr>
        <w:t>January 26</w:t>
      </w:r>
      <w:r w:rsidRPr="00B85242">
        <w:rPr>
          <w:rFonts w:ascii="Avenir Next LT Pro" w:hAnsi="Avenir Next LT Pro" w:cstheme="minorHAnsi"/>
        </w:rPr>
        <w:t>, 202</w:t>
      </w:r>
      <w:r w:rsidR="00B85242">
        <w:rPr>
          <w:rFonts w:ascii="Avenir Next LT Pro" w:hAnsi="Avenir Next LT Pro" w:cstheme="minorHAnsi"/>
        </w:rPr>
        <w:t>4</w:t>
      </w:r>
      <w:r w:rsidRPr="00B85242">
        <w:rPr>
          <w:rFonts w:ascii="Avenir Next LT Pro" w:hAnsi="Avenir Next LT Pro" w:cstheme="minorHAnsi"/>
        </w:rPr>
        <w:t xml:space="preserve">). </w:t>
      </w:r>
    </w:p>
  </w:endnote>
  <w:endnote w:id="4">
    <w:p w14:paraId="6DFC4E64" w14:textId="6B273054" w:rsidR="003269D6" w:rsidRPr="003269D6" w:rsidRDefault="003269D6">
      <w:pPr>
        <w:pStyle w:val="EndnoteText"/>
      </w:pPr>
      <w:r>
        <w:rPr>
          <w:rStyle w:val="EndnoteReference"/>
        </w:rPr>
        <w:endnoteRef/>
      </w:r>
      <w:r>
        <w:t xml:space="preserve"> Alanna Pawloski, </w:t>
      </w:r>
      <w:r>
        <w:rPr>
          <w:i/>
          <w:iCs/>
        </w:rPr>
        <w:t>Improving Education Outcomes for Foster Youth</w:t>
      </w:r>
      <w:r>
        <w:t xml:space="preserve">, American Bar Association (April 1, 2014), </w:t>
      </w:r>
      <w:hyperlink r:id="rId3" w:history="1">
        <w:r w:rsidRPr="00EC179A">
          <w:rPr>
            <w:rStyle w:val="Hyperlink"/>
          </w:rPr>
          <w:t>https://www.americanbar.org/groups/public_interest/child_law/resources/child_law_practiceonline/child_law_practice/vol-33/april-2014/improving-education-outcomes-for-foster-youth/</w:t>
        </w:r>
      </w:hyperlink>
      <w:r>
        <w:t xml:space="preserve">. </w:t>
      </w:r>
    </w:p>
  </w:endnote>
  <w:endnote w:id="5">
    <w:p w14:paraId="6561A8AC" w14:textId="10DE36CD" w:rsidR="003269D6" w:rsidRPr="00B85242" w:rsidRDefault="003269D6" w:rsidP="003269D6">
      <w:pPr>
        <w:pStyle w:val="EndnoteText"/>
        <w:rPr>
          <w:rFonts w:ascii="Avenir Next LT Pro" w:hAnsi="Avenir Next LT Pro" w:cstheme="minorHAnsi"/>
        </w:rPr>
      </w:pPr>
      <w:r w:rsidRPr="00B85242">
        <w:rPr>
          <w:rStyle w:val="EndnoteReference"/>
          <w:rFonts w:ascii="Avenir Next LT Pro" w:hAnsi="Avenir Next LT Pro" w:cstheme="minorHAnsi"/>
        </w:rPr>
        <w:endnoteRef/>
      </w:r>
      <w:r w:rsidRPr="00B85242">
        <w:rPr>
          <w:rFonts w:ascii="Avenir Next LT Pro" w:hAnsi="Avenir Next LT Pro" w:cstheme="minorHAnsi"/>
        </w:rPr>
        <w:t xml:space="preserve"> Katherine C. Pears, et. al., </w:t>
      </w:r>
      <w:r w:rsidRPr="00B85242">
        <w:rPr>
          <w:rFonts w:ascii="Avenir Next LT Pro" w:hAnsi="Avenir Next LT Pro" w:cstheme="minorHAnsi"/>
          <w:i/>
          <w:iCs/>
        </w:rPr>
        <w:t>Adverse Consequences of School Mobility for Children in Foster Care</w:t>
      </w:r>
      <w:r w:rsidRPr="00B85242">
        <w:rPr>
          <w:rFonts w:ascii="Avenir Next LT Pro" w:hAnsi="Avenir Next LT Pro" w:cstheme="minorHAnsi"/>
        </w:rPr>
        <w:t xml:space="preserve"> (July/Aug. 2015), </w:t>
      </w:r>
      <w:r>
        <w:rPr>
          <w:rFonts w:ascii="Avenir Next LT Pro" w:hAnsi="Avenir Next LT Pro" w:cstheme="minorHAnsi"/>
        </w:rPr>
        <w:t xml:space="preserve">Discussion, </w:t>
      </w:r>
      <w:hyperlink r:id="rId4" w:history="1">
        <w:r w:rsidRPr="00EC179A">
          <w:rPr>
            <w:rStyle w:val="Hyperlink"/>
            <w:rFonts w:ascii="Avenir Next LT Pro" w:hAnsi="Avenir Next LT Pro" w:cstheme="minorHAnsi"/>
          </w:rPr>
          <w:t>https://www.ncbi.nlm.nih.gov/pmc/articles/PMC4618793/</w:t>
        </w:r>
      </w:hyperlink>
      <w:r w:rsidRPr="00B85242">
        <w:rPr>
          <w:rFonts w:ascii="Avenir Next LT Pro" w:hAnsi="Avenir Next LT Pro" w:cstheme="minorHAnsi"/>
        </w:rPr>
        <w:t>.</w:t>
      </w:r>
    </w:p>
  </w:endnote>
  <w:endnote w:id="6">
    <w:p w14:paraId="262881BF" w14:textId="26EA9265" w:rsidR="009D127C" w:rsidRPr="00B85242" w:rsidRDefault="009D127C" w:rsidP="009D127C">
      <w:pPr>
        <w:pStyle w:val="EndnoteText"/>
        <w:rPr>
          <w:rFonts w:ascii="Avenir Next LT Pro" w:hAnsi="Avenir Next LT Pro" w:cstheme="minorHAnsi"/>
        </w:rPr>
      </w:pPr>
      <w:r w:rsidRPr="00B85242">
        <w:rPr>
          <w:rStyle w:val="EndnoteReference"/>
          <w:rFonts w:ascii="Avenir Next LT Pro" w:hAnsi="Avenir Next LT Pro" w:cstheme="minorHAnsi"/>
        </w:rPr>
        <w:endnoteRef/>
      </w:r>
      <w:r w:rsidRPr="00B85242">
        <w:rPr>
          <w:rFonts w:ascii="Avenir Next LT Pro" w:hAnsi="Avenir Next LT Pro" w:cstheme="minorHAnsi"/>
        </w:rPr>
        <w:t xml:space="preserve"> </w:t>
      </w:r>
      <w:r w:rsidR="00F6076B">
        <w:rPr>
          <w:rFonts w:ascii="Avenir Next LT Pro" w:hAnsi="Avenir Next LT Pro" w:cstheme="minorHAnsi"/>
        </w:rPr>
        <w:t xml:space="preserve">Foster Care to Success, </w:t>
      </w:r>
      <w:r w:rsidR="00F6076B" w:rsidRPr="00F6076B">
        <w:rPr>
          <w:rFonts w:ascii="Avenir Next LT Pro" w:hAnsi="Avenir Next LT Pro" w:cstheme="minorHAnsi"/>
          <w:i/>
          <w:iCs/>
        </w:rPr>
        <w:t>Fostering Success in Education</w:t>
      </w:r>
      <w:r w:rsidR="00F6076B">
        <w:rPr>
          <w:rFonts w:ascii="Avenir Next LT Pro" w:hAnsi="Avenir Next LT Pro" w:cstheme="minorHAnsi"/>
        </w:rPr>
        <w:t xml:space="preserve"> (January 2014), Footnote 104, </w:t>
      </w:r>
      <w:hyperlink r:id="rId5" w:history="1">
        <w:r w:rsidR="00F6076B" w:rsidRPr="00EC179A">
          <w:rPr>
            <w:rStyle w:val="Hyperlink"/>
            <w:rFonts w:ascii="Avenir Next LT Pro" w:hAnsi="Avenir Next LT Pro" w:cstheme="minorHAnsi"/>
          </w:rPr>
          <w:t>https://cdn.fc2success.org/wp-content/uploads/2012/05/National-Fact-Sheet-on-the-Educational-Outcomes-of-Children-in-Foster-Care-Jan-2014.pdf</w:t>
        </w:r>
      </w:hyperlink>
      <w:r w:rsidR="00F6076B">
        <w:rPr>
          <w:rFonts w:ascii="Avenir Next LT Pro" w:hAnsi="Avenir Next LT Pro" w:cstheme="minorHAnsi"/>
        </w:rPr>
        <w:t xml:space="preserve"> (</w:t>
      </w:r>
      <w:r w:rsidR="00F6076B" w:rsidRPr="00F6076B">
        <w:rPr>
          <w:rFonts w:ascii="Avenir Next LT Pro" w:hAnsi="Avenir Next LT Pro" w:cstheme="minorHAnsi"/>
          <w:i/>
          <w:iCs/>
        </w:rPr>
        <w:t>citing</w:t>
      </w:r>
      <w:r w:rsidR="00F6076B">
        <w:rPr>
          <w:rFonts w:ascii="Avenir Next LT Pro" w:hAnsi="Avenir Next LT Pro" w:cstheme="minorHAnsi"/>
        </w:rPr>
        <w:t xml:space="preserve">, </w:t>
      </w:r>
      <w:r w:rsidR="004552DF" w:rsidRPr="00F6076B">
        <w:rPr>
          <w:rFonts w:ascii="Avenir Next LT Pro" w:hAnsi="Avenir Next LT Pro" w:cstheme="minorHAnsi"/>
        </w:rPr>
        <w:t>Peter</w:t>
      </w:r>
      <w:r w:rsidR="004552DF">
        <w:rPr>
          <w:rFonts w:ascii="Avenir Next LT Pro" w:hAnsi="Avenir Next LT Pro" w:cstheme="minorHAnsi"/>
        </w:rPr>
        <w:t xml:space="preserve"> </w:t>
      </w:r>
      <w:r w:rsidR="004552DF" w:rsidRPr="00B85242">
        <w:rPr>
          <w:rFonts w:ascii="Avenir Next LT Pro" w:hAnsi="Avenir Next LT Pro" w:cstheme="minorHAnsi"/>
        </w:rPr>
        <w:t xml:space="preserve">Pecora, </w:t>
      </w:r>
      <w:r w:rsidR="004552DF">
        <w:rPr>
          <w:rFonts w:ascii="Avenir Next LT Pro" w:hAnsi="Avenir Next LT Pro" w:cstheme="minorHAnsi"/>
        </w:rPr>
        <w:t xml:space="preserve">Jason </w:t>
      </w:r>
      <w:r w:rsidR="004552DF" w:rsidRPr="00B85242">
        <w:rPr>
          <w:rFonts w:ascii="Avenir Next LT Pro" w:hAnsi="Avenir Next LT Pro" w:cstheme="minorHAnsi"/>
        </w:rPr>
        <w:t xml:space="preserve">Williams, </w:t>
      </w:r>
      <w:r w:rsidR="004552DF">
        <w:rPr>
          <w:rFonts w:ascii="Avenir Next LT Pro" w:hAnsi="Avenir Next LT Pro" w:cstheme="minorHAnsi"/>
        </w:rPr>
        <w:t xml:space="preserve">Ronald </w:t>
      </w:r>
      <w:r w:rsidR="004552DF" w:rsidRPr="00B85242">
        <w:rPr>
          <w:rFonts w:ascii="Avenir Next LT Pro" w:hAnsi="Avenir Next LT Pro" w:cstheme="minorHAnsi"/>
        </w:rPr>
        <w:t xml:space="preserve">Kessler, </w:t>
      </w:r>
      <w:r w:rsidR="004552DF">
        <w:rPr>
          <w:rFonts w:ascii="Avenir Next LT Pro" w:hAnsi="Avenir Next LT Pro" w:cstheme="minorHAnsi"/>
          <w:i/>
          <w:iCs/>
        </w:rPr>
        <w:t xml:space="preserve">et </w:t>
      </w:r>
      <w:r w:rsidR="004552DF" w:rsidRPr="004552DF">
        <w:rPr>
          <w:rFonts w:ascii="Avenir Next LT Pro" w:hAnsi="Avenir Next LT Pro" w:cstheme="minorHAnsi"/>
          <w:i/>
          <w:iCs/>
        </w:rPr>
        <w:t>al</w:t>
      </w:r>
      <w:r w:rsidR="004552DF">
        <w:rPr>
          <w:rFonts w:ascii="Avenir Next LT Pro" w:hAnsi="Avenir Next LT Pro" w:cstheme="minorHAnsi"/>
        </w:rPr>
        <w:t xml:space="preserve">., </w:t>
      </w:r>
      <w:r w:rsidR="004552DF" w:rsidRPr="004552DF">
        <w:rPr>
          <w:rFonts w:ascii="Avenir Next LT Pro" w:hAnsi="Avenir Next LT Pro" w:cstheme="minorHAnsi"/>
          <w:i/>
          <w:iCs/>
        </w:rPr>
        <w:t>Assessing the educational achievements of adults who formerly were placed in family foster care</w:t>
      </w:r>
      <w:r w:rsidR="004552DF">
        <w:rPr>
          <w:rFonts w:ascii="Avenir Next LT Pro" w:hAnsi="Avenir Next LT Pro" w:cstheme="minorHAnsi"/>
          <w:i/>
          <w:iCs/>
        </w:rPr>
        <w:t xml:space="preserve"> </w:t>
      </w:r>
      <w:r w:rsidR="004552DF">
        <w:rPr>
          <w:rFonts w:ascii="Avenir Next LT Pro" w:hAnsi="Avenir Next LT Pro" w:cstheme="minorHAnsi"/>
        </w:rPr>
        <w:t>(2006),</w:t>
      </w:r>
      <w:r w:rsidR="004552DF" w:rsidRPr="00B85242">
        <w:rPr>
          <w:rFonts w:ascii="Avenir Next LT Pro" w:hAnsi="Avenir Next LT Pro" w:cstheme="minorHAnsi"/>
        </w:rPr>
        <w:t xml:space="preserve"> </w:t>
      </w:r>
      <w:r w:rsidR="004552DF" w:rsidRPr="00B85242">
        <w:rPr>
          <w:rFonts w:ascii="Avenir Next LT Pro" w:hAnsi="Avenir Next LT Pro" w:cstheme="minorHAnsi"/>
          <w:i/>
          <w:iCs/>
        </w:rPr>
        <w:t>Child and Family Social Work</w:t>
      </w:r>
      <w:r w:rsidR="004552DF" w:rsidRPr="00B85242">
        <w:rPr>
          <w:rFonts w:ascii="Avenir Next LT Pro" w:hAnsi="Avenir Next LT Pro" w:cstheme="minorHAnsi"/>
        </w:rPr>
        <w:t>, 11, 220–231</w:t>
      </w:r>
      <w:r w:rsidR="004552DF">
        <w:rPr>
          <w:rFonts w:ascii="Avenir Next LT Pro" w:hAnsi="Avenir Next LT Pro" w:cstheme="minorHAnsi"/>
        </w:rPr>
        <w:t xml:space="preserve">, </w:t>
      </w:r>
      <w:hyperlink r:id="rId6" w:history="1">
        <w:r w:rsidR="004552DF" w:rsidRPr="004552DF">
          <w:rPr>
            <w:rStyle w:val="Hyperlink"/>
            <w:rFonts w:ascii="Avenir Next LT Pro" w:hAnsi="Avenir Next LT Pro" w:cstheme="minorHAnsi"/>
          </w:rPr>
          <w:t>https://doi.org/10.1111/j.1365-2206.2006.00429.x</w:t>
        </w:r>
      </w:hyperlink>
      <w:r w:rsidR="004552DF">
        <w:rPr>
          <w:rFonts w:ascii="Avenir Next LT Pro" w:hAnsi="Avenir Next LT Pro" w:cstheme="minorHAnsi"/>
        </w:rPr>
        <w:t>.</w:t>
      </w:r>
      <w:r w:rsidRPr="00B85242">
        <w:rPr>
          <w:rFonts w:ascii="Avenir Next LT Pro" w:hAnsi="Avenir Next LT Pro" w:cstheme="minorHAnsi"/>
        </w:rPr>
        <w:t xml:space="preserve"> </w:t>
      </w:r>
    </w:p>
  </w:endnote>
  <w:endnote w:id="7">
    <w:p w14:paraId="7B064F08" w14:textId="21F1C118" w:rsidR="009D127C" w:rsidRPr="00B85242" w:rsidRDefault="009D127C" w:rsidP="009D127C">
      <w:pPr>
        <w:pStyle w:val="EndnoteText"/>
        <w:rPr>
          <w:rFonts w:ascii="Avenir Next LT Pro" w:hAnsi="Avenir Next LT Pro" w:cstheme="minorHAnsi"/>
        </w:rPr>
      </w:pPr>
      <w:r w:rsidRPr="00B85242">
        <w:rPr>
          <w:rStyle w:val="EndnoteReference"/>
          <w:rFonts w:ascii="Avenir Next LT Pro" w:hAnsi="Avenir Next LT Pro" w:cstheme="minorHAnsi"/>
        </w:rPr>
        <w:endnoteRef/>
      </w:r>
      <w:r w:rsidRPr="00B85242">
        <w:rPr>
          <w:rFonts w:ascii="Avenir Next LT Pro" w:hAnsi="Avenir Next LT Pro" w:cstheme="minorHAnsi"/>
        </w:rPr>
        <w:t xml:space="preserve"> “Future Savings: The Economic Potential of Successful Transitions from Foster Care to Adulthood.” The Annie E. Casey Foundation (2019)</w:t>
      </w:r>
      <w:r w:rsidR="004C524B">
        <w:rPr>
          <w:rFonts w:ascii="Avenir Next LT Pro" w:hAnsi="Avenir Next LT Pro" w:cstheme="minorHAnsi"/>
        </w:rPr>
        <w:t>, 3,</w:t>
      </w:r>
      <w:r w:rsidRPr="00B85242">
        <w:rPr>
          <w:rFonts w:ascii="Avenir Next LT Pro" w:hAnsi="Avenir Next LT Pro" w:cstheme="minorHAnsi"/>
        </w:rPr>
        <w:t xml:space="preserve"> </w:t>
      </w:r>
      <w:hyperlink r:id="rId7" w:anchor="page=10" w:history="1">
        <w:r w:rsidRPr="00B85242">
          <w:rPr>
            <w:rStyle w:val="Hyperlink"/>
            <w:rFonts w:ascii="Avenir Next LT Pro" w:hAnsi="Avenir Next LT Pro" w:cstheme="minorHAnsi"/>
          </w:rPr>
          <w:t>https://ass</w:t>
        </w:r>
        <w:r w:rsidRPr="00B85242">
          <w:rPr>
            <w:rStyle w:val="Hyperlink"/>
            <w:rFonts w:ascii="Avenir Next LT Pro" w:hAnsi="Avenir Next LT Pro" w:cstheme="minorHAnsi"/>
          </w:rPr>
          <w:t>e</w:t>
        </w:r>
        <w:r w:rsidRPr="00B85242">
          <w:rPr>
            <w:rStyle w:val="Hyperlink"/>
            <w:rFonts w:ascii="Avenir Next LT Pro" w:hAnsi="Avenir Next LT Pro" w:cstheme="minorHAnsi"/>
          </w:rPr>
          <w:t>ts.aecf.org/m/resourcedoc/aecf-futuresavings-2019.pdf#page=10</w:t>
        </w:r>
      </w:hyperlink>
      <w:r w:rsidRPr="00B85242">
        <w:rPr>
          <w:rFonts w:ascii="Avenir Next LT Pro" w:hAnsi="Avenir Next LT Pro" w:cstheme="minorHAnsi"/>
        </w:rPr>
        <w:t xml:space="preserve">. </w:t>
      </w:r>
    </w:p>
  </w:endnote>
  <w:endnote w:id="8">
    <w:p w14:paraId="585C98F8" w14:textId="011F2A5E" w:rsidR="00476F32" w:rsidRDefault="00476F32">
      <w:pPr>
        <w:pStyle w:val="EndnoteText"/>
      </w:pPr>
      <w:r w:rsidRPr="00B85242">
        <w:rPr>
          <w:rStyle w:val="EndnoteReference"/>
          <w:rFonts w:ascii="Avenir Next LT Pro" w:hAnsi="Avenir Next LT Pro"/>
        </w:rPr>
        <w:endnoteRef/>
      </w:r>
      <w:r w:rsidRPr="00B85242">
        <w:rPr>
          <w:rFonts w:ascii="Avenir Next LT Pro" w:hAnsi="Avenir Next LT Pro"/>
        </w:rPr>
        <w:t xml:space="preserve"> </w:t>
      </w:r>
      <w:r w:rsidR="009313A1" w:rsidRPr="00B85242">
        <w:rPr>
          <w:rFonts w:ascii="Avenir Next LT Pro" w:hAnsi="Avenir Next LT Pro"/>
        </w:rPr>
        <w:t>Ashley Willcott</w:t>
      </w:r>
      <w:r w:rsidR="0045395D" w:rsidRPr="00B85242">
        <w:rPr>
          <w:rFonts w:ascii="Avenir Next LT Pro" w:hAnsi="Avenir Next LT Pro"/>
        </w:rPr>
        <w:t xml:space="preserve"> and Leslie </w:t>
      </w:r>
      <w:r w:rsidR="00897A22" w:rsidRPr="00B85242">
        <w:rPr>
          <w:rFonts w:ascii="Avenir Next LT Pro" w:hAnsi="Avenir Next LT Pro"/>
        </w:rPr>
        <w:t xml:space="preserve">E. Stewart, </w:t>
      </w:r>
      <w:r w:rsidRPr="00B85242">
        <w:rPr>
          <w:rFonts w:ascii="Avenir Next LT Pro" w:hAnsi="Avenir Next LT Pro"/>
          <w:i/>
          <w:iCs/>
        </w:rPr>
        <w:t>Cold Case Project Annual Report for the Work of 2019</w:t>
      </w:r>
      <w:r w:rsidR="000A1149" w:rsidRPr="00B85242">
        <w:rPr>
          <w:rFonts w:ascii="Avenir Next LT Pro" w:hAnsi="Avenir Next LT Pro"/>
        </w:rPr>
        <w:t>,</w:t>
      </w:r>
      <w:r w:rsidR="00897A22" w:rsidRPr="00B85242">
        <w:rPr>
          <w:rFonts w:ascii="Avenir Next LT Pro" w:hAnsi="Avenir Next LT Pro"/>
        </w:rPr>
        <w:t xml:space="preserve"> </w:t>
      </w:r>
      <w:r w:rsidR="001359EF" w:rsidRPr="00B85242">
        <w:rPr>
          <w:rFonts w:ascii="Avenir Next LT Pro" w:hAnsi="Avenir Next LT Pro"/>
        </w:rPr>
        <w:t xml:space="preserve">Judicial Council of Georgia, Administrative Office of the Courts, </w:t>
      </w:r>
      <w:r w:rsidR="00897A22" w:rsidRPr="00B85242">
        <w:rPr>
          <w:rFonts w:ascii="Avenir Next LT Pro" w:hAnsi="Avenir Next LT Pro"/>
        </w:rPr>
        <w:t>2</w:t>
      </w:r>
      <w:r w:rsidR="001359EF" w:rsidRPr="00B85242">
        <w:rPr>
          <w:rFonts w:ascii="Avenir Next LT Pro" w:hAnsi="Avenir Next LT Pro"/>
        </w:rPr>
        <w:t>,</w:t>
      </w:r>
      <w:r w:rsidR="000A1149" w:rsidRPr="00B85242">
        <w:rPr>
          <w:rFonts w:ascii="Avenir Next LT Pro" w:hAnsi="Avenir Next LT Pro"/>
        </w:rPr>
        <w:t xml:space="preserve"> </w:t>
      </w:r>
      <w:hyperlink r:id="rId8" w:history="1">
        <w:r w:rsidR="001359EF" w:rsidRPr="00B85242">
          <w:rPr>
            <w:rStyle w:val="Hyperlink"/>
            <w:rFonts w:ascii="Avenir Next LT Pro" w:hAnsi="Avenir Next LT Pro"/>
          </w:rPr>
          <w:t>http://www.gacip.org/wp-content/uploads/2021/05/Update-2019-Cold-Case-Annual-Report-PDF.pdf</w:t>
        </w:r>
      </w:hyperlink>
      <w:r w:rsidR="001359EF" w:rsidRPr="00B85242">
        <w:rPr>
          <w:rFonts w:ascii="Avenir Next LT Pro" w:hAnsi="Avenir Next LT Pro"/>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5BAD" w14:textId="77777777" w:rsidR="00DB27D9" w:rsidRDefault="00DB27D9" w:rsidP="00DB27D9">
    <w:pPr>
      <w:pStyle w:val="Footer"/>
      <w:ind w:left="4680" w:hanging="4680"/>
      <w:jc w:val="center"/>
      <w:rPr>
        <w:rFonts w:ascii="Avenir Next" w:hAnsi="Avenir Next"/>
        <w:sz w:val="18"/>
        <w:szCs w:val="18"/>
      </w:rPr>
    </w:pPr>
  </w:p>
  <w:p w14:paraId="325EFA3E" w14:textId="6871EFB2" w:rsidR="00DB27D9" w:rsidRPr="00E71750" w:rsidRDefault="00DB27D9" w:rsidP="00DB27D9">
    <w:pPr>
      <w:pStyle w:val="Footer"/>
      <w:ind w:left="4680" w:hanging="4680"/>
      <w:jc w:val="center"/>
      <w:rPr>
        <w:rFonts w:ascii="Avenir Next" w:hAnsi="Avenir Next"/>
        <w:sz w:val="18"/>
        <w:szCs w:val="18"/>
      </w:rPr>
    </w:pPr>
    <w:r w:rsidRPr="00E71750">
      <w:rPr>
        <w:rFonts w:ascii="Avenir Next" w:hAnsi="Avenir Next"/>
        <w:sz w:val="18"/>
        <w:szCs w:val="18"/>
      </w:rPr>
      <w:t>thecenterforchildren.org  |  3900 East Camelback Road, Suite 300, Phoenix, AZ 85018  |  602.710.1135</w:t>
    </w:r>
  </w:p>
  <w:sdt>
    <w:sdtPr>
      <w:id w:val="1008329129"/>
      <w:docPartObj>
        <w:docPartGallery w:val="Page Numbers (Bottom of Page)"/>
        <w:docPartUnique/>
      </w:docPartObj>
    </w:sdtPr>
    <w:sdtEndPr>
      <w:rPr>
        <w:noProof/>
        <w:sz w:val="18"/>
        <w:szCs w:val="18"/>
      </w:rPr>
    </w:sdtEndPr>
    <w:sdtContent>
      <w:p w14:paraId="3686A38F" w14:textId="5436F8E3" w:rsidR="00036503" w:rsidRPr="00DB27D9" w:rsidRDefault="00DB27D9" w:rsidP="00DB27D9">
        <w:pPr>
          <w:pStyle w:val="Footer"/>
          <w:jc w:val="right"/>
          <w:rPr>
            <w:sz w:val="18"/>
            <w:szCs w:val="18"/>
          </w:rPr>
        </w:pPr>
        <w:r w:rsidRPr="00DB27D9">
          <w:rPr>
            <w:sz w:val="18"/>
            <w:szCs w:val="18"/>
          </w:rPr>
          <w:fldChar w:fldCharType="begin"/>
        </w:r>
        <w:r w:rsidRPr="00DB27D9">
          <w:rPr>
            <w:sz w:val="18"/>
            <w:szCs w:val="18"/>
          </w:rPr>
          <w:instrText xml:space="preserve"> PAGE   \* MERGEFORMAT </w:instrText>
        </w:r>
        <w:r w:rsidRPr="00DB27D9">
          <w:rPr>
            <w:sz w:val="18"/>
            <w:szCs w:val="18"/>
          </w:rPr>
          <w:fldChar w:fldCharType="separate"/>
        </w:r>
        <w:r w:rsidRPr="00DB27D9">
          <w:rPr>
            <w:noProof/>
            <w:sz w:val="18"/>
            <w:szCs w:val="18"/>
          </w:rPr>
          <w:t>2</w:t>
        </w:r>
        <w:r w:rsidRPr="00DB27D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16FB" w14:textId="77777777" w:rsidR="00137E9A" w:rsidRDefault="00137E9A" w:rsidP="00036503">
      <w:r>
        <w:separator/>
      </w:r>
    </w:p>
  </w:footnote>
  <w:footnote w:type="continuationSeparator" w:id="0">
    <w:p w14:paraId="71E359F5" w14:textId="77777777" w:rsidR="00137E9A" w:rsidRDefault="00137E9A" w:rsidP="00036503">
      <w:r>
        <w:continuationSeparator/>
      </w:r>
    </w:p>
  </w:footnote>
  <w:footnote w:type="continuationNotice" w:id="1">
    <w:p w14:paraId="0598C0A1" w14:textId="77777777" w:rsidR="00137E9A" w:rsidRDefault="00137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1490" w14:textId="4640F837" w:rsidR="00036503" w:rsidRDefault="00692A44" w:rsidP="006B707C">
    <w:pPr>
      <w:pStyle w:val="Header"/>
      <w:jc w:val="center"/>
    </w:pPr>
    <w:r>
      <w:rPr>
        <w:noProof/>
      </w:rPr>
      <w:drawing>
        <wp:inline distT="0" distB="0" distL="0" distR="0" wp14:anchorId="457F2302" wp14:editId="396ED314">
          <wp:extent cx="1256030" cy="530225"/>
          <wp:effectExtent l="0" t="0" r="1270" b="3175"/>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6E59"/>
    <w:multiLevelType w:val="hybridMultilevel"/>
    <w:tmpl w:val="2B10660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9F916E9"/>
    <w:multiLevelType w:val="hybridMultilevel"/>
    <w:tmpl w:val="4CC0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F626EB"/>
    <w:multiLevelType w:val="hybridMultilevel"/>
    <w:tmpl w:val="D0EA5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88085">
    <w:abstractNumId w:val="3"/>
  </w:num>
  <w:num w:numId="2" w16cid:durableId="1799378880">
    <w:abstractNumId w:val="4"/>
  </w:num>
  <w:num w:numId="3" w16cid:durableId="1835336857">
    <w:abstractNumId w:val="1"/>
  </w:num>
  <w:num w:numId="4" w16cid:durableId="1384719546">
    <w:abstractNumId w:val="2"/>
  </w:num>
  <w:num w:numId="5" w16cid:durableId="204416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sDA3MTSwMLW0NDRW0lEKTi0uzszPAykwqQUAcMLveCwAAAA="/>
  </w:docVars>
  <w:rsids>
    <w:rsidRoot w:val="00036503"/>
    <w:rsid w:val="00006DD9"/>
    <w:rsid w:val="0002127F"/>
    <w:rsid w:val="00034797"/>
    <w:rsid w:val="00036503"/>
    <w:rsid w:val="0005501F"/>
    <w:rsid w:val="00062129"/>
    <w:rsid w:val="0006368E"/>
    <w:rsid w:val="00097506"/>
    <w:rsid w:val="000A1149"/>
    <w:rsid w:val="00133ADD"/>
    <w:rsid w:val="001359EF"/>
    <w:rsid w:val="00137E9A"/>
    <w:rsid w:val="0017383B"/>
    <w:rsid w:val="00185473"/>
    <w:rsid w:val="00187795"/>
    <w:rsid w:val="001E0332"/>
    <w:rsid w:val="00224B6E"/>
    <w:rsid w:val="00227BA6"/>
    <w:rsid w:val="00241761"/>
    <w:rsid w:val="002A49D4"/>
    <w:rsid w:val="002E0175"/>
    <w:rsid w:val="003128D1"/>
    <w:rsid w:val="003269D6"/>
    <w:rsid w:val="00335214"/>
    <w:rsid w:val="00344DF7"/>
    <w:rsid w:val="0036535A"/>
    <w:rsid w:val="003B4F9F"/>
    <w:rsid w:val="00433F8F"/>
    <w:rsid w:val="0044480D"/>
    <w:rsid w:val="0045395D"/>
    <w:rsid w:val="0045496E"/>
    <w:rsid w:val="004552DF"/>
    <w:rsid w:val="004655EB"/>
    <w:rsid w:val="00475961"/>
    <w:rsid w:val="00476F32"/>
    <w:rsid w:val="0048209A"/>
    <w:rsid w:val="0048597F"/>
    <w:rsid w:val="004C524B"/>
    <w:rsid w:val="004C76A6"/>
    <w:rsid w:val="004F4F87"/>
    <w:rsid w:val="00502FB9"/>
    <w:rsid w:val="00547DB8"/>
    <w:rsid w:val="00587879"/>
    <w:rsid w:val="005934A1"/>
    <w:rsid w:val="005B4C27"/>
    <w:rsid w:val="005E5BAF"/>
    <w:rsid w:val="006009CC"/>
    <w:rsid w:val="00601217"/>
    <w:rsid w:val="00601716"/>
    <w:rsid w:val="0060352A"/>
    <w:rsid w:val="006372C4"/>
    <w:rsid w:val="0065789B"/>
    <w:rsid w:val="00692A44"/>
    <w:rsid w:val="006A241A"/>
    <w:rsid w:val="006B707C"/>
    <w:rsid w:val="006D4530"/>
    <w:rsid w:val="006E0A90"/>
    <w:rsid w:val="006E529E"/>
    <w:rsid w:val="00722147"/>
    <w:rsid w:val="00727243"/>
    <w:rsid w:val="0073062C"/>
    <w:rsid w:val="007319A4"/>
    <w:rsid w:val="007531ED"/>
    <w:rsid w:val="0077151B"/>
    <w:rsid w:val="0077757B"/>
    <w:rsid w:val="00783A68"/>
    <w:rsid w:val="00790465"/>
    <w:rsid w:val="00794785"/>
    <w:rsid w:val="007A4E01"/>
    <w:rsid w:val="007C2A68"/>
    <w:rsid w:val="007D531E"/>
    <w:rsid w:val="007F3958"/>
    <w:rsid w:val="00850113"/>
    <w:rsid w:val="00854F64"/>
    <w:rsid w:val="0086528B"/>
    <w:rsid w:val="008753FE"/>
    <w:rsid w:val="00897A22"/>
    <w:rsid w:val="008C57E8"/>
    <w:rsid w:val="008F2717"/>
    <w:rsid w:val="008F5EF1"/>
    <w:rsid w:val="00903ACE"/>
    <w:rsid w:val="009052EF"/>
    <w:rsid w:val="009246E1"/>
    <w:rsid w:val="009313A1"/>
    <w:rsid w:val="00980086"/>
    <w:rsid w:val="009B14D9"/>
    <w:rsid w:val="009D127C"/>
    <w:rsid w:val="009D5E49"/>
    <w:rsid w:val="009E34EB"/>
    <w:rsid w:val="009F0A46"/>
    <w:rsid w:val="009F67AB"/>
    <w:rsid w:val="00A021C9"/>
    <w:rsid w:val="00A06B88"/>
    <w:rsid w:val="00A228D8"/>
    <w:rsid w:val="00A303C2"/>
    <w:rsid w:val="00A8279C"/>
    <w:rsid w:val="00A913EB"/>
    <w:rsid w:val="00A92A5D"/>
    <w:rsid w:val="00AB78F3"/>
    <w:rsid w:val="00AC169A"/>
    <w:rsid w:val="00AF382B"/>
    <w:rsid w:val="00B263AC"/>
    <w:rsid w:val="00B64C28"/>
    <w:rsid w:val="00B85242"/>
    <w:rsid w:val="00BC24F3"/>
    <w:rsid w:val="00BC6A24"/>
    <w:rsid w:val="00C1394B"/>
    <w:rsid w:val="00C3022F"/>
    <w:rsid w:val="00C353C5"/>
    <w:rsid w:val="00C413FF"/>
    <w:rsid w:val="00C5064E"/>
    <w:rsid w:val="00C57742"/>
    <w:rsid w:val="00C65B1A"/>
    <w:rsid w:val="00CE1270"/>
    <w:rsid w:val="00D13AB6"/>
    <w:rsid w:val="00D53649"/>
    <w:rsid w:val="00D64A1B"/>
    <w:rsid w:val="00D860C1"/>
    <w:rsid w:val="00DA3610"/>
    <w:rsid w:val="00DB27D9"/>
    <w:rsid w:val="00DD0C51"/>
    <w:rsid w:val="00DE32C5"/>
    <w:rsid w:val="00DF6E5C"/>
    <w:rsid w:val="00E2221C"/>
    <w:rsid w:val="00E34D47"/>
    <w:rsid w:val="00E4400D"/>
    <w:rsid w:val="00E564F8"/>
    <w:rsid w:val="00E61C81"/>
    <w:rsid w:val="00E71750"/>
    <w:rsid w:val="00E76E1B"/>
    <w:rsid w:val="00EB2D79"/>
    <w:rsid w:val="00EC7CB5"/>
    <w:rsid w:val="00EF25F3"/>
    <w:rsid w:val="00EF6FB8"/>
    <w:rsid w:val="00F40FE0"/>
    <w:rsid w:val="00F44D54"/>
    <w:rsid w:val="00F45E59"/>
    <w:rsid w:val="00F57946"/>
    <w:rsid w:val="00F6076B"/>
    <w:rsid w:val="00FC35D3"/>
    <w:rsid w:val="00FD54C9"/>
    <w:rsid w:val="00FE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semiHidden/>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722147"/>
  </w:style>
  <w:style w:type="character" w:customStyle="1" w:styleId="hide">
    <w:name w:val="hide"/>
    <w:basedOn w:val="DefaultParagraphFont"/>
    <w:rsid w:val="00722147"/>
  </w:style>
  <w:style w:type="paragraph" w:styleId="EndnoteText">
    <w:name w:val="endnote text"/>
    <w:basedOn w:val="Normal"/>
    <w:link w:val="EndnoteTextChar"/>
    <w:uiPriority w:val="99"/>
    <w:unhideWhenUsed/>
    <w:rsid w:val="00EF6FB8"/>
    <w:pPr>
      <w:spacing w:after="0" w:line="240" w:lineRule="auto"/>
    </w:pPr>
    <w:rPr>
      <w:sz w:val="20"/>
      <w:szCs w:val="20"/>
    </w:rPr>
  </w:style>
  <w:style w:type="character" w:customStyle="1" w:styleId="EndnoteTextChar">
    <w:name w:val="Endnote Text Char"/>
    <w:basedOn w:val="DefaultParagraphFont"/>
    <w:link w:val="EndnoteText"/>
    <w:uiPriority w:val="99"/>
    <w:rsid w:val="00EF6FB8"/>
    <w:rPr>
      <w:sz w:val="20"/>
      <w:szCs w:val="20"/>
    </w:rPr>
  </w:style>
  <w:style w:type="character" w:styleId="EndnoteReference">
    <w:name w:val="endnote reference"/>
    <w:basedOn w:val="DefaultParagraphFont"/>
    <w:uiPriority w:val="99"/>
    <w:semiHidden/>
    <w:unhideWhenUsed/>
    <w:rsid w:val="00EF6FB8"/>
    <w:rPr>
      <w:vertAlign w:val="superscript"/>
    </w:rPr>
  </w:style>
  <w:style w:type="character" w:styleId="UnresolvedMention">
    <w:name w:val="Unresolved Mention"/>
    <w:basedOn w:val="DefaultParagraphFont"/>
    <w:uiPriority w:val="99"/>
    <w:semiHidden/>
    <w:unhideWhenUsed/>
    <w:rsid w:val="001359EF"/>
    <w:rPr>
      <w:color w:val="605E5C"/>
      <w:shd w:val="clear" w:color="auto" w:fill="E1DFDD"/>
    </w:rPr>
  </w:style>
  <w:style w:type="paragraph" w:styleId="Revision">
    <w:name w:val="Revision"/>
    <w:hidden/>
    <w:uiPriority w:val="99"/>
    <w:semiHidden/>
    <w:rsid w:val="00E76E1B"/>
    <w:rPr>
      <w:sz w:val="22"/>
      <w:szCs w:val="22"/>
    </w:rPr>
  </w:style>
  <w:style w:type="character" w:styleId="FollowedHyperlink">
    <w:name w:val="FollowedHyperlink"/>
    <w:basedOn w:val="DefaultParagraphFont"/>
    <w:uiPriority w:val="99"/>
    <w:semiHidden/>
    <w:unhideWhenUsed/>
    <w:rsid w:val="00C413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93715">
      <w:bodyDiv w:val="1"/>
      <w:marLeft w:val="0"/>
      <w:marRight w:val="0"/>
      <w:marTop w:val="0"/>
      <w:marBottom w:val="0"/>
      <w:divBdr>
        <w:top w:val="none" w:sz="0" w:space="0" w:color="auto"/>
        <w:left w:val="none" w:sz="0" w:space="0" w:color="auto"/>
        <w:bottom w:val="none" w:sz="0" w:space="0" w:color="auto"/>
        <w:right w:val="none" w:sz="0" w:space="0" w:color="auto"/>
      </w:divBdr>
      <w:divsChild>
        <w:div w:id="532573680">
          <w:marLeft w:val="0"/>
          <w:marRight w:val="0"/>
          <w:marTop w:val="0"/>
          <w:marBottom w:val="0"/>
          <w:divBdr>
            <w:top w:val="none" w:sz="0" w:space="0" w:color="auto"/>
            <w:left w:val="none" w:sz="0" w:space="0" w:color="auto"/>
            <w:bottom w:val="none" w:sz="0" w:space="0" w:color="auto"/>
            <w:right w:val="none" w:sz="0" w:space="0" w:color="auto"/>
          </w:divBdr>
          <w:divsChild>
            <w:div w:id="10025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gacip.org/wp-content/uploads/2021/05/Update-2019-Cold-Case-Annual-Report-PDF.pdf" TargetMode="External"/><Relationship Id="rId3" Type="http://schemas.openxmlformats.org/officeDocument/2006/relationships/hyperlink" Target="https://www.americanbar.org/groups/public_interest/child_law/resources/child_law_practiceonline/child_law_practice/vol-33/april-2014/improving-education-outcomes-for-foster-youth/" TargetMode="External"/><Relationship Id="rId7" Type="http://schemas.openxmlformats.org/officeDocument/2006/relationships/hyperlink" Target="https://assets.aecf.org/m/resourcedoc/aecf-futuresavings-2019.pdf" TargetMode="External"/><Relationship Id="rId2" Type="http://schemas.openxmlformats.org/officeDocument/2006/relationships/hyperlink" Target="https://www.azed.gov/accountability-research/data/" TargetMode="External"/><Relationship Id="rId1" Type="http://schemas.openxmlformats.org/officeDocument/2006/relationships/hyperlink" Target="https://azreportcards.azed.gov/state-reports" TargetMode="External"/><Relationship Id="rId6" Type="http://schemas.openxmlformats.org/officeDocument/2006/relationships/hyperlink" Target="https://doi.org/10.1111/j.1365-2206.2006.00429.x" TargetMode="External"/><Relationship Id="rId5" Type="http://schemas.openxmlformats.org/officeDocument/2006/relationships/hyperlink" Target="https://cdn.fc2success.org/wp-content/uploads/2012/05/National-Fact-Sheet-on-the-Educational-Outcomes-of-Children-in-Foster-Care-Jan-2014.pdf" TargetMode="External"/><Relationship Id="rId4" Type="http://schemas.openxmlformats.org/officeDocument/2006/relationships/hyperlink" Target="https://www.ncbi.nlm.nih.gov/pmc/articles/PMC46187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5" ma:contentTypeDescription="Create a new document." ma:contentTypeScope="" ma:versionID="afa7e868b2ac6eebbe4901a01abf2fab">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c984fad8bbaa7931b6a0c9d7399104c"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2.xml><?xml version="1.0" encoding="utf-8"?>
<ds:datastoreItem xmlns:ds="http://schemas.openxmlformats.org/officeDocument/2006/customXml" ds:itemID="{42445D34-4F63-41CB-B877-04BDC91BD3BE}"/>
</file>

<file path=customXml/itemProps3.xml><?xml version="1.0" encoding="utf-8"?>
<ds:datastoreItem xmlns:ds="http://schemas.openxmlformats.org/officeDocument/2006/customXml" ds:itemID="{4AFC01FF-4777-42B0-90E0-63C7884BEE62}">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4.xml><?xml version="1.0" encoding="utf-8"?>
<ds:datastoreItem xmlns:ds="http://schemas.openxmlformats.org/officeDocument/2006/customXml" ds:itemID="{C7D4DF9C-5D06-4105-BD40-32E40655B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717</Words>
  <Characters>4091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Bradley Galbraith</cp:lastModifiedBy>
  <cp:revision>2</cp:revision>
  <dcterms:created xsi:type="dcterms:W3CDTF">2024-01-26T20:11:00Z</dcterms:created>
  <dcterms:modified xsi:type="dcterms:W3CDTF">2024-01-26T20:11:00Z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