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045E" w14:textId="341138A2" w:rsidR="001F2FAD" w:rsidRPr="001F2FAD" w:rsidRDefault="001F2FAD" w:rsidP="001F2FAD">
      <w:pPr>
        <w:spacing w:after="160" w:line="259" w:lineRule="auto"/>
        <w:jc w:val="center"/>
        <w:rPr>
          <w:rFonts w:ascii="Avenir Next LT Pro" w:hAnsi="Avenir Next LT Pro" w:cstheme="minorBidi"/>
          <w:color w:val="000000" w:themeColor="text1"/>
          <w:sz w:val="24"/>
          <w:szCs w:val="24"/>
        </w:rPr>
      </w:pPr>
      <w:r w:rsidRPr="001F2FAD">
        <w:rPr>
          <w:rFonts w:ascii="Avenir Next LT Pro" w:hAnsi="Avenir Next LT Pro" w:cstheme="minorBidi"/>
          <w:b/>
          <w:bCs/>
          <w:color w:val="000000" w:themeColor="text1"/>
          <w:sz w:val="24"/>
          <w:szCs w:val="24"/>
        </w:rPr>
        <w:t xml:space="preserve">Support </w:t>
      </w:r>
      <w:r w:rsidR="005647A7">
        <w:rPr>
          <w:rFonts w:ascii="Avenir Next LT Pro" w:hAnsi="Avenir Next LT Pro" w:cstheme="minorBidi"/>
          <w:b/>
          <w:bCs/>
          <w:color w:val="000000" w:themeColor="text1"/>
          <w:sz w:val="24"/>
          <w:szCs w:val="24"/>
        </w:rPr>
        <w:t>Reauthorization of the Department of Child Safety</w:t>
      </w:r>
      <w:r w:rsidRPr="001F2FAD">
        <w:rPr>
          <w:rFonts w:ascii="Avenir Next LT Pro" w:hAnsi="Avenir Next LT Pro" w:cstheme="minorBidi"/>
          <w:color w:val="000000" w:themeColor="text1"/>
          <w:sz w:val="24"/>
          <w:szCs w:val="24"/>
        </w:rPr>
        <w:t xml:space="preserve"> </w:t>
      </w:r>
    </w:p>
    <w:p w14:paraId="6ED847F6" w14:textId="7D46117A" w:rsidR="001F2FAD" w:rsidRPr="001F2FAD" w:rsidRDefault="002C026A" w:rsidP="001F2FAD">
      <w:pPr>
        <w:spacing w:after="160" w:line="259" w:lineRule="auto"/>
        <w:jc w:val="both"/>
        <w:rPr>
          <w:rFonts w:ascii="Avenir Next LT Pro" w:hAnsi="Avenir Next LT Pro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T</w:t>
      </w:r>
      <w:r w:rsidR="00123A66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he Department of Child Safety</w:t>
      </w:r>
      <w:r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311A" w:rsidRPr="0067311A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Sunset Review </w:t>
      </w:r>
      <w:r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hearings to </w:t>
      </w:r>
      <w:r w:rsidR="0067311A" w:rsidRPr="0067311A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review the purpose and functions of </w:t>
      </w:r>
      <w:r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the department </w:t>
      </w:r>
      <w:r w:rsidR="0067311A" w:rsidRPr="0067311A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to determine whether continuation, revision, </w:t>
      </w:r>
      <w:proofErr w:type="gramStart"/>
      <w:r w:rsidR="0067311A" w:rsidRPr="0067311A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consolidation</w:t>
      </w:r>
      <w:proofErr w:type="gramEnd"/>
      <w:r w:rsidR="0067311A" w:rsidRPr="0067311A"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 xml:space="preserve"> or termination is warranted</w:t>
      </w:r>
      <w:r>
        <w:rPr>
          <w:rFonts w:ascii="Avenir Next LT Pro" w:hAnsi="Avenir Next LT Pro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A4DA2F2" w14:textId="77777777" w:rsidR="001F2FAD" w:rsidRPr="001F2FAD" w:rsidRDefault="001F2FAD" w:rsidP="001F2FAD">
      <w:pPr>
        <w:spacing w:after="120" w:line="259" w:lineRule="auto"/>
        <w:jc w:val="center"/>
        <w:rPr>
          <w:rFonts w:ascii="Avenir Next LT Pro" w:hAnsi="Avenir Next LT Pro" w:cstheme="minorBidi"/>
          <w:sz w:val="24"/>
          <w:szCs w:val="24"/>
        </w:rPr>
      </w:pPr>
      <w:r w:rsidRPr="001F2FAD">
        <w:rPr>
          <w:rFonts w:ascii="Avenir Next LT Pro" w:hAnsi="Avenir Next LT Pro" w:cstheme="minorBidi"/>
          <w:b/>
          <w:bCs/>
          <w:sz w:val="24"/>
          <w:szCs w:val="24"/>
        </w:rPr>
        <w:t>In-Person Testimony</w:t>
      </w:r>
    </w:p>
    <w:p w14:paraId="0F71246A" w14:textId="29B6CA95" w:rsidR="001F2FAD" w:rsidRPr="001F2FAD" w:rsidRDefault="005647A7" w:rsidP="001F2FAD">
      <w:pPr>
        <w:jc w:val="center"/>
        <w:rPr>
          <w:rFonts w:ascii="Avenir Next LT Pro" w:hAnsi="Avenir Next LT Pro" w:cstheme="minorBidi"/>
          <w:sz w:val="24"/>
          <w:szCs w:val="24"/>
        </w:rPr>
      </w:pPr>
      <w:r>
        <w:rPr>
          <w:rFonts w:ascii="Avenir Next LT Pro" w:hAnsi="Avenir Next LT Pro" w:cstheme="minorBidi"/>
          <w:sz w:val="24"/>
          <w:szCs w:val="24"/>
        </w:rPr>
        <w:t>Kendall Seal</w:t>
      </w:r>
      <w:r w:rsidR="001F2FAD" w:rsidRPr="001F2FAD">
        <w:rPr>
          <w:rFonts w:ascii="Avenir Next LT Pro" w:hAnsi="Avenir Next LT Pro" w:cstheme="minorBidi"/>
          <w:sz w:val="24"/>
          <w:szCs w:val="24"/>
        </w:rPr>
        <w:t xml:space="preserve">, </w:t>
      </w:r>
      <w:r>
        <w:rPr>
          <w:rFonts w:ascii="Avenir Next LT Pro" w:hAnsi="Avenir Next LT Pro" w:cstheme="minorBidi"/>
          <w:sz w:val="24"/>
          <w:szCs w:val="24"/>
        </w:rPr>
        <w:t>VP for Policy</w:t>
      </w:r>
    </w:p>
    <w:p w14:paraId="028EABC9" w14:textId="77777777" w:rsidR="001F2FAD" w:rsidRPr="001F2FAD" w:rsidRDefault="001F2FAD" w:rsidP="001F2FAD">
      <w:pPr>
        <w:spacing w:after="120"/>
        <w:jc w:val="center"/>
        <w:rPr>
          <w:rFonts w:ascii="Avenir Next LT Pro" w:hAnsi="Avenir Next LT Pro" w:cstheme="minorBidi"/>
          <w:sz w:val="24"/>
          <w:szCs w:val="24"/>
        </w:rPr>
      </w:pPr>
      <w:r w:rsidRPr="001F2FAD">
        <w:rPr>
          <w:rFonts w:ascii="Avenir Next LT Pro" w:hAnsi="Avenir Next LT Pro" w:cstheme="minorBidi"/>
          <w:sz w:val="24"/>
          <w:szCs w:val="24"/>
        </w:rPr>
        <w:t>Center for the Rights of Abused Children</w:t>
      </w:r>
    </w:p>
    <w:p w14:paraId="3660F71E" w14:textId="76F85C53" w:rsidR="001F2FAD" w:rsidRPr="001F2FAD" w:rsidRDefault="00741839" w:rsidP="001F2FAD">
      <w:pPr>
        <w:pBdr>
          <w:bottom w:val="single" w:sz="12" w:space="1" w:color="auto"/>
        </w:pBdr>
        <w:spacing w:after="120" w:line="259" w:lineRule="auto"/>
        <w:jc w:val="center"/>
        <w:rPr>
          <w:rFonts w:ascii="Avenir Next LT Pro" w:hAnsi="Avenir Next LT Pro" w:cstheme="minorBidi"/>
          <w:b/>
          <w:bCs/>
          <w:sz w:val="24"/>
          <w:szCs w:val="24"/>
        </w:rPr>
      </w:pPr>
      <w:r>
        <w:rPr>
          <w:rFonts w:ascii="Avenir Next LT Pro" w:hAnsi="Avenir Next LT Pro" w:cstheme="minorBidi"/>
          <w:b/>
          <w:bCs/>
          <w:sz w:val="24"/>
          <w:szCs w:val="24"/>
        </w:rPr>
        <w:t>Senate</w:t>
      </w:r>
      <w:r w:rsidR="001F2FAD" w:rsidRPr="001F2FAD">
        <w:rPr>
          <w:rFonts w:ascii="Avenir Next LT Pro" w:hAnsi="Avenir Next LT Pro" w:cstheme="minorBidi"/>
          <w:b/>
          <w:bCs/>
          <w:sz w:val="24"/>
          <w:szCs w:val="24"/>
        </w:rPr>
        <w:t xml:space="preserve"> Committee </w:t>
      </w:r>
      <w:r w:rsidR="00123A66">
        <w:rPr>
          <w:rFonts w:ascii="Avenir Next LT Pro" w:hAnsi="Avenir Next LT Pro" w:cstheme="minorBidi"/>
          <w:b/>
          <w:bCs/>
          <w:sz w:val="24"/>
          <w:szCs w:val="24"/>
        </w:rPr>
        <w:t xml:space="preserve">[Name] </w:t>
      </w:r>
      <w:r w:rsidR="001F2FAD" w:rsidRPr="001F2FAD">
        <w:rPr>
          <w:rFonts w:ascii="Avenir Next LT Pro" w:hAnsi="Avenir Next LT Pro" w:cstheme="minorBidi"/>
          <w:b/>
          <w:bCs/>
          <w:sz w:val="24"/>
          <w:szCs w:val="24"/>
        </w:rPr>
        <w:t xml:space="preserve"> </w:t>
      </w:r>
    </w:p>
    <w:p w14:paraId="40F4FD1D" w14:textId="0F93541F" w:rsidR="001F2FAD" w:rsidRDefault="00123A66" w:rsidP="001F2FAD">
      <w:pPr>
        <w:pBdr>
          <w:bottom w:val="single" w:sz="12" w:space="1" w:color="auto"/>
        </w:pBdr>
        <w:spacing w:after="160" w:line="259" w:lineRule="auto"/>
        <w:jc w:val="center"/>
        <w:rPr>
          <w:rFonts w:ascii="Avenir Next LT Pro" w:hAnsi="Avenir Next LT Pro" w:cstheme="minorBidi"/>
          <w:sz w:val="24"/>
          <w:szCs w:val="24"/>
        </w:rPr>
      </w:pPr>
      <w:r>
        <w:rPr>
          <w:rFonts w:ascii="Avenir Next LT Pro" w:hAnsi="Avenir Next LT Pro" w:cstheme="minorBidi"/>
          <w:sz w:val="24"/>
          <w:szCs w:val="24"/>
        </w:rPr>
        <w:t>[Date]</w:t>
      </w:r>
    </w:p>
    <w:p w14:paraId="4942DAC1" w14:textId="77777777" w:rsidR="001F2FAD" w:rsidRPr="001F2FAD" w:rsidRDefault="001F2FAD" w:rsidP="001F2FAD">
      <w:pPr>
        <w:pBdr>
          <w:bottom w:val="single" w:sz="12" w:space="1" w:color="auto"/>
        </w:pBdr>
        <w:spacing w:after="160" w:line="259" w:lineRule="auto"/>
        <w:jc w:val="center"/>
        <w:rPr>
          <w:rFonts w:ascii="Avenir Next LT Pro" w:hAnsi="Avenir Next LT Pro" w:cstheme="minorBidi"/>
          <w:sz w:val="24"/>
          <w:szCs w:val="24"/>
        </w:rPr>
      </w:pPr>
    </w:p>
    <w:p w14:paraId="550571B4" w14:textId="77777777" w:rsidR="001F2FAD" w:rsidRPr="001F2FAD" w:rsidRDefault="001F2FA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69C7ABC4" w14:textId="77777777" w:rsidR="0010187E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Mr./Madame </w:t>
      </w:r>
      <w:r w:rsidR="008C5390" w:rsidRPr="052C63AA">
        <w:rPr>
          <w:rFonts w:ascii="Avenir Next LT Pro" w:hAnsi="Avenir Next LT Pro"/>
          <w:sz w:val="24"/>
          <w:szCs w:val="24"/>
        </w:rPr>
        <w:t>Chair</w:t>
      </w:r>
      <w:r w:rsidR="00913B93">
        <w:rPr>
          <w:rFonts w:ascii="Avenir Next LT Pro" w:hAnsi="Avenir Next LT Pro"/>
          <w:sz w:val="24"/>
          <w:szCs w:val="24"/>
        </w:rPr>
        <w:t xml:space="preserve"> and members of the Committee</w:t>
      </w:r>
      <w:r w:rsidR="008C5390" w:rsidRPr="052C63AA">
        <w:rPr>
          <w:rFonts w:ascii="Avenir Next LT Pro" w:hAnsi="Avenir Next LT Pro"/>
          <w:sz w:val="24"/>
          <w:szCs w:val="24"/>
        </w:rPr>
        <w:t>,</w:t>
      </w:r>
    </w:p>
    <w:p w14:paraId="4EF2B536" w14:textId="77777777" w:rsidR="0010187E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4205FDE9" w14:textId="77777777" w:rsidR="0010187E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My name is </w:t>
      </w:r>
      <w:r w:rsidRPr="0010187E">
        <w:rPr>
          <w:rFonts w:ascii="Avenir Next LT Pro" w:hAnsi="Avenir Next LT Pro"/>
          <w:sz w:val="24"/>
          <w:szCs w:val="24"/>
        </w:rPr>
        <w:t>Kendall Seal</w:t>
      </w:r>
      <w:r>
        <w:rPr>
          <w:rFonts w:ascii="Avenir Next LT Pro" w:hAnsi="Avenir Next LT Pro"/>
          <w:sz w:val="24"/>
          <w:szCs w:val="24"/>
        </w:rPr>
        <w:t xml:space="preserve">. </w:t>
      </w:r>
      <w:r w:rsidRPr="0010187E">
        <w:rPr>
          <w:rFonts w:ascii="Avenir Next LT Pro" w:hAnsi="Avenir Next LT Pro"/>
          <w:sz w:val="24"/>
          <w:szCs w:val="24"/>
        </w:rPr>
        <w:t xml:space="preserve">I serve as the Vice President of Policy at the Center for the Rights of Abused Children. Our mission is to ensure that every child has a safe and loving home. </w:t>
      </w:r>
    </w:p>
    <w:p w14:paraId="16E34D2C" w14:textId="77777777" w:rsidR="0010187E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4478788E" w14:textId="77777777" w:rsidR="00AC3B99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I am here in support of the reauthorization of the Department of Child Safety as a standalone agency whose focus should be on the</w:t>
      </w:r>
      <w:r w:rsidR="00E82E0B">
        <w:rPr>
          <w:rFonts w:ascii="Avenir Next LT Pro" w:hAnsi="Avenir Next LT Pro"/>
          <w:sz w:val="24"/>
          <w:szCs w:val="24"/>
        </w:rPr>
        <w:t xml:space="preserve"> safety and wellbeing of children in Arizona. </w:t>
      </w:r>
    </w:p>
    <w:p w14:paraId="41BCE619" w14:textId="77777777" w:rsidR="00AC3B99" w:rsidRDefault="00AC3B99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5A40F514" w14:textId="31B8A191" w:rsidR="00ED01DF" w:rsidRDefault="00E82E0B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The Department was created to </w:t>
      </w:r>
      <w:r w:rsidR="00E81926">
        <w:rPr>
          <w:rFonts w:ascii="Avenir Next LT Pro" w:hAnsi="Avenir Next LT Pro"/>
          <w:sz w:val="24"/>
          <w:szCs w:val="24"/>
        </w:rPr>
        <w:t>“[safeguard] Arizona’s abused and neglected children</w:t>
      </w:r>
      <w:r w:rsidR="00C30AB1">
        <w:rPr>
          <w:rFonts w:ascii="Avenir Next LT Pro" w:hAnsi="Avenir Next LT Pro"/>
          <w:sz w:val="24"/>
          <w:szCs w:val="24"/>
        </w:rPr>
        <w:t>.”</w:t>
      </w:r>
      <w:r w:rsidR="00C30AB1">
        <w:rPr>
          <w:rStyle w:val="FootnoteReference"/>
          <w:rFonts w:ascii="Avenir Next LT Pro" w:hAnsi="Avenir Next LT Pro"/>
          <w:sz w:val="24"/>
          <w:szCs w:val="24"/>
        </w:rPr>
        <w:footnoteReference w:id="2"/>
      </w:r>
      <w:r w:rsidR="00AF60C7">
        <w:rPr>
          <w:rFonts w:ascii="Avenir Next LT Pro" w:hAnsi="Avenir Next LT Pro"/>
          <w:sz w:val="24"/>
          <w:szCs w:val="24"/>
        </w:rPr>
        <w:t xml:space="preserve"> </w:t>
      </w:r>
      <w:r w:rsidR="00D97290">
        <w:rPr>
          <w:rFonts w:ascii="Avenir Next LT Pro" w:hAnsi="Avenir Next LT Pro"/>
          <w:sz w:val="24"/>
          <w:szCs w:val="24"/>
        </w:rPr>
        <w:t>The intent was to “reverse a longstanding crisis and implement long-lasting change</w:t>
      </w:r>
      <w:r w:rsidR="00027B23">
        <w:rPr>
          <w:rFonts w:ascii="Avenir Next LT Pro" w:hAnsi="Avenir Next LT Pro"/>
          <w:sz w:val="24"/>
          <w:szCs w:val="24"/>
        </w:rPr>
        <w:t xml:space="preserve">” </w:t>
      </w:r>
      <w:r w:rsidR="00EF60EB">
        <w:rPr>
          <w:rFonts w:ascii="Avenir Next LT Pro" w:hAnsi="Avenir Next LT Pro"/>
          <w:sz w:val="24"/>
          <w:szCs w:val="24"/>
        </w:rPr>
        <w:t xml:space="preserve">by ensuring </w:t>
      </w:r>
      <w:r w:rsidR="00027B23">
        <w:rPr>
          <w:rFonts w:ascii="Avenir Next LT Pro" w:hAnsi="Avenir Next LT Pro"/>
          <w:sz w:val="24"/>
          <w:szCs w:val="24"/>
        </w:rPr>
        <w:t>“necessary resources, safeguards, checks and balances</w:t>
      </w:r>
      <w:r w:rsidR="00EF60EB">
        <w:rPr>
          <w:rFonts w:ascii="Avenir Next LT Pro" w:hAnsi="Avenir Next LT Pro"/>
          <w:sz w:val="24"/>
          <w:szCs w:val="24"/>
        </w:rPr>
        <w:t>,</w:t>
      </w:r>
      <w:r w:rsidR="00027B23">
        <w:rPr>
          <w:rFonts w:ascii="Avenir Next LT Pro" w:hAnsi="Avenir Next LT Pro"/>
          <w:sz w:val="24"/>
          <w:szCs w:val="24"/>
        </w:rPr>
        <w:t xml:space="preserve"> and oversight – as well as a clearly-defined core mission of child safety</w:t>
      </w:r>
      <w:r w:rsidR="00ED01DF">
        <w:rPr>
          <w:rFonts w:ascii="Avenir Next LT Pro" w:hAnsi="Avenir Next LT Pro"/>
          <w:sz w:val="24"/>
          <w:szCs w:val="24"/>
        </w:rPr>
        <w:t>.”</w:t>
      </w:r>
      <w:r w:rsidR="00ED01DF">
        <w:rPr>
          <w:rStyle w:val="FootnoteReference"/>
          <w:rFonts w:ascii="Avenir Next LT Pro" w:hAnsi="Avenir Next LT Pro"/>
          <w:sz w:val="24"/>
          <w:szCs w:val="24"/>
        </w:rPr>
        <w:footnoteReference w:id="3"/>
      </w:r>
    </w:p>
    <w:p w14:paraId="5B818300" w14:textId="77777777" w:rsidR="0073703A" w:rsidRDefault="0073703A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591101E4" w14:textId="6A6B23B3" w:rsidR="001F70C0" w:rsidRDefault="0073703A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Systemic change </w:t>
      </w:r>
      <w:r w:rsidR="00143A36">
        <w:rPr>
          <w:rFonts w:ascii="Avenir Next LT Pro" w:hAnsi="Avenir Next LT Pro"/>
          <w:sz w:val="24"/>
          <w:szCs w:val="24"/>
        </w:rPr>
        <w:t xml:space="preserve">is </w:t>
      </w:r>
      <w:r>
        <w:rPr>
          <w:rFonts w:ascii="Avenir Next LT Pro" w:hAnsi="Avenir Next LT Pro"/>
          <w:sz w:val="24"/>
          <w:szCs w:val="24"/>
        </w:rPr>
        <w:t>ambitious</w:t>
      </w:r>
      <w:r w:rsidR="00967506">
        <w:rPr>
          <w:rFonts w:ascii="Avenir Next LT Pro" w:hAnsi="Avenir Next LT Pro"/>
          <w:sz w:val="24"/>
          <w:szCs w:val="24"/>
        </w:rPr>
        <w:t xml:space="preserve"> and </w:t>
      </w:r>
      <w:r w:rsidR="009C4C8D">
        <w:rPr>
          <w:rFonts w:ascii="Avenir Next LT Pro" w:hAnsi="Avenir Next LT Pro"/>
          <w:sz w:val="24"/>
          <w:szCs w:val="24"/>
        </w:rPr>
        <w:t>requires long-term commitment</w:t>
      </w:r>
      <w:r w:rsidR="00751B7E">
        <w:rPr>
          <w:rFonts w:ascii="Avenir Next LT Pro" w:hAnsi="Avenir Next LT Pro"/>
          <w:sz w:val="24"/>
          <w:szCs w:val="24"/>
        </w:rPr>
        <w:t xml:space="preserve"> </w:t>
      </w:r>
      <w:proofErr w:type="gramStart"/>
      <w:r w:rsidR="00751B7E">
        <w:rPr>
          <w:rFonts w:ascii="Avenir Next LT Pro" w:hAnsi="Avenir Next LT Pro"/>
          <w:sz w:val="24"/>
          <w:szCs w:val="24"/>
        </w:rPr>
        <w:t>in order to</w:t>
      </w:r>
      <w:proofErr w:type="gramEnd"/>
      <w:r w:rsidR="00751B7E">
        <w:rPr>
          <w:rFonts w:ascii="Avenir Next LT Pro" w:hAnsi="Avenir Next LT Pro"/>
          <w:sz w:val="24"/>
          <w:szCs w:val="24"/>
        </w:rPr>
        <w:t xml:space="preserve"> protect some of this state’s most </w:t>
      </w:r>
      <w:r w:rsidR="0078091F">
        <w:rPr>
          <w:rFonts w:ascii="Avenir Next LT Pro" w:hAnsi="Avenir Next LT Pro"/>
          <w:sz w:val="24"/>
          <w:szCs w:val="24"/>
        </w:rPr>
        <w:t>vulnerable children</w:t>
      </w:r>
      <w:r w:rsidR="009C4C8D">
        <w:rPr>
          <w:rFonts w:ascii="Avenir Next LT Pro" w:hAnsi="Avenir Next LT Pro"/>
          <w:sz w:val="24"/>
          <w:szCs w:val="24"/>
        </w:rPr>
        <w:t>.</w:t>
      </w:r>
      <w:r w:rsidR="00967506">
        <w:rPr>
          <w:rFonts w:ascii="Avenir Next LT Pro" w:hAnsi="Avenir Next LT Pro"/>
          <w:sz w:val="24"/>
          <w:szCs w:val="24"/>
        </w:rPr>
        <w:t xml:space="preserve"> </w:t>
      </w:r>
      <w:r w:rsidR="001F70C0">
        <w:rPr>
          <w:rFonts w:ascii="Avenir Next LT Pro" w:hAnsi="Avenir Next LT Pro"/>
          <w:sz w:val="24"/>
          <w:szCs w:val="24"/>
        </w:rPr>
        <w:t xml:space="preserve">The Center for the Rights of Abused Children stands in support of </w:t>
      </w:r>
      <w:r w:rsidR="005D7659">
        <w:rPr>
          <w:rFonts w:ascii="Avenir Next LT Pro" w:hAnsi="Avenir Next LT Pro"/>
          <w:sz w:val="24"/>
          <w:szCs w:val="24"/>
        </w:rPr>
        <w:t xml:space="preserve">maintaining a stand-alone agency whose </w:t>
      </w:r>
      <w:r w:rsidR="0078091F">
        <w:rPr>
          <w:rFonts w:ascii="Avenir Next LT Pro" w:hAnsi="Avenir Next LT Pro"/>
          <w:sz w:val="24"/>
          <w:szCs w:val="24"/>
        </w:rPr>
        <w:t xml:space="preserve">sole </w:t>
      </w:r>
      <w:r w:rsidR="005D7659">
        <w:rPr>
          <w:rFonts w:ascii="Avenir Next LT Pro" w:hAnsi="Avenir Next LT Pro"/>
          <w:sz w:val="24"/>
          <w:szCs w:val="24"/>
        </w:rPr>
        <w:t xml:space="preserve">mission is to protect </w:t>
      </w:r>
      <w:r w:rsidR="008248CB">
        <w:rPr>
          <w:rFonts w:ascii="Avenir Next LT Pro" w:hAnsi="Avenir Next LT Pro"/>
          <w:sz w:val="24"/>
          <w:szCs w:val="24"/>
        </w:rPr>
        <w:t>children</w:t>
      </w:r>
      <w:r w:rsidR="0078091F">
        <w:rPr>
          <w:rFonts w:ascii="Avenir Next LT Pro" w:hAnsi="Avenir Next LT Pro"/>
          <w:sz w:val="24"/>
          <w:szCs w:val="24"/>
        </w:rPr>
        <w:t xml:space="preserve">. We remain </w:t>
      </w:r>
      <w:r w:rsidR="00B7523D">
        <w:rPr>
          <w:rFonts w:ascii="Avenir Next LT Pro" w:hAnsi="Avenir Next LT Pro"/>
          <w:sz w:val="24"/>
          <w:szCs w:val="24"/>
        </w:rPr>
        <w:t>committed</w:t>
      </w:r>
      <w:r w:rsidR="008248CB">
        <w:rPr>
          <w:rFonts w:ascii="Avenir Next LT Pro" w:hAnsi="Avenir Next LT Pro"/>
          <w:sz w:val="24"/>
          <w:szCs w:val="24"/>
        </w:rPr>
        <w:t xml:space="preserve"> to working with the legislature, the department, and the governor to bring greater transparency</w:t>
      </w:r>
      <w:r w:rsidR="00B7523D">
        <w:rPr>
          <w:rFonts w:ascii="Avenir Next LT Pro" w:hAnsi="Avenir Next LT Pro"/>
          <w:sz w:val="24"/>
          <w:szCs w:val="24"/>
        </w:rPr>
        <w:t xml:space="preserve"> to the department, enact and implement best practices, and, ultimately</w:t>
      </w:r>
      <w:r w:rsidR="0078091F">
        <w:rPr>
          <w:rFonts w:ascii="Avenir Next LT Pro" w:hAnsi="Avenir Next LT Pro"/>
          <w:sz w:val="24"/>
          <w:szCs w:val="24"/>
        </w:rPr>
        <w:t>,</w:t>
      </w:r>
      <w:r w:rsidR="00B7523D">
        <w:rPr>
          <w:rFonts w:ascii="Avenir Next LT Pro" w:hAnsi="Avenir Next LT Pro"/>
          <w:sz w:val="24"/>
          <w:szCs w:val="24"/>
        </w:rPr>
        <w:t xml:space="preserve"> </w:t>
      </w:r>
      <w:r w:rsidR="00491548">
        <w:rPr>
          <w:rFonts w:ascii="Avenir Next LT Pro" w:hAnsi="Avenir Next LT Pro"/>
          <w:sz w:val="24"/>
          <w:szCs w:val="24"/>
        </w:rPr>
        <w:t>vindicate the rights of children who have suffered abuse or neglect.</w:t>
      </w:r>
      <w:r w:rsidR="00B7523D">
        <w:rPr>
          <w:rFonts w:ascii="Avenir Next LT Pro" w:hAnsi="Avenir Next LT Pro"/>
          <w:sz w:val="24"/>
          <w:szCs w:val="24"/>
        </w:rPr>
        <w:t xml:space="preserve"> </w:t>
      </w:r>
      <w:r w:rsidR="008248CB">
        <w:rPr>
          <w:rFonts w:ascii="Avenir Next LT Pro" w:hAnsi="Avenir Next LT Pro"/>
          <w:sz w:val="24"/>
          <w:szCs w:val="24"/>
        </w:rPr>
        <w:t xml:space="preserve"> </w:t>
      </w:r>
      <w:r w:rsidR="001F70C0">
        <w:rPr>
          <w:rFonts w:ascii="Avenir Next LT Pro" w:hAnsi="Avenir Next LT Pro"/>
          <w:sz w:val="24"/>
          <w:szCs w:val="24"/>
        </w:rPr>
        <w:t xml:space="preserve"> </w:t>
      </w:r>
    </w:p>
    <w:p w14:paraId="5113C4C0" w14:textId="77777777" w:rsidR="00491548" w:rsidRDefault="00491548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26B86FA1" w14:textId="306B3107" w:rsidR="00491548" w:rsidRPr="00BA084C" w:rsidRDefault="00491548" w:rsidP="052C63AA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 w:rsidRPr="00BA084C">
        <w:rPr>
          <w:rFonts w:ascii="Avenir Next LT Pro" w:hAnsi="Avenir Next LT Pro"/>
          <w:b/>
          <w:bCs/>
          <w:sz w:val="24"/>
          <w:szCs w:val="24"/>
        </w:rPr>
        <w:lastRenderedPageBreak/>
        <w:t>Argument</w:t>
      </w:r>
    </w:p>
    <w:p w14:paraId="34DF1112" w14:textId="77777777" w:rsidR="00491548" w:rsidRDefault="00491548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3A2ED49B" w14:textId="77777777" w:rsidR="005A3A9E" w:rsidRDefault="003C3B13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Since our founding</w:t>
      </w:r>
      <w:r w:rsidR="009C3B35">
        <w:rPr>
          <w:rFonts w:ascii="Avenir Next LT Pro" w:hAnsi="Avenir Next LT Pro"/>
          <w:sz w:val="24"/>
          <w:szCs w:val="24"/>
        </w:rPr>
        <w:t xml:space="preserve"> more than six years ago, the Center has worked tirelessly with the legislature to improve the department and better protect children. </w:t>
      </w:r>
      <w:r w:rsidR="00491548">
        <w:rPr>
          <w:rFonts w:ascii="Avenir Next LT Pro" w:hAnsi="Avenir Next LT Pro"/>
          <w:sz w:val="24"/>
          <w:szCs w:val="24"/>
        </w:rPr>
        <w:t xml:space="preserve">While the </w:t>
      </w:r>
      <w:r w:rsidR="009C3B35">
        <w:rPr>
          <w:rFonts w:ascii="Avenir Next LT Pro" w:hAnsi="Avenir Next LT Pro"/>
          <w:sz w:val="24"/>
          <w:szCs w:val="24"/>
        </w:rPr>
        <w:t xml:space="preserve">department is not perfect, </w:t>
      </w:r>
      <w:r w:rsidR="004D2D11">
        <w:rPr>
          <w:rFonts w:ascii="Avenir Next LT Pro" w:hAnsi="Avenir Next LT Pro"/>
          <w:sz w:val="24"/>
          <w:szCs w:val="24"/>
        </w:rPr>
        <w:t xml:space="preserve">reauthorizing the Department </w:t>
      </w:r>
      <w:r w:rsidR="000F4F7D">
        <w:rPr>
          <w:rFonts w:ascii="Avenir Next LT Pro" w:hAnsi="Avenir Next LT Pro"/>
          <w:sz w:val="24"/>
          <w:szCs w:val="24"/>
        </w:rPr>
        <w:t xml:space="preserve">in line with the original intent of the authorizing legislation and continuing to reform and refine the practices of the department </w:t>
      </w:r>
      <w:r w:rsidR="005A3A9E">
        <w:rPr>
          <w:rFonts w:ascii="Avenir Next LT Pro" w:hAnsi="Avenir Next LT Pro"/>
          <w:sz w:val="24"/>
          <w:szCs w:val="24"/>
        </w:rPr>
        <w:t>will best protect children into the future.</w:t>
      </w:r>
    </w:p>
    <w:p w14:paraId="5F54FD8C" w14:textId="77777777" w:rsidR="00CA0452" w:rsidRDefault="00CA0452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24D91454" w14:textId="172A6070" w:rsidR="00897BEC" w:rsidRDefault="00CA0452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The Center has been enga</w:t>
      </w:r>
      <w:r w:rsidR="00F83196">
        <w:rPr>
          <w:rFonts w:ascii="Avenir Next LT Pro" w:hAnsi="Avenir Next LT Pro"/>
          <w:sz w:val="24"/>
          <w:szCs w:val="24"/>
        </w:rPr>
        <w:t xml:space="preserve">ged with </w:t>
      </w:r>
      <w:r w:rsidR="00053704">
        <w:rPr>
          <w:rFonts w:ascii="Avenir Next LT Pro" w:hAnsi="Avenir Next LT Pro"/>
          <w:sz w:val="24"/>
          <w:szCs w:val="24"/>
        </w:rPr>
        <w:t>child protection systems across the country. DCS</w:t>
      </w:r>
      <w:r w:rsidR="005A3A9E">
        <w:rPr>
          <w:rFonts w:ascii="Avenir Next LT Pro" w:hAnsi="Avenir Next LT Pro"/>
          <w:sz w:val="24"/>
          <w:szCs w:val="24"/>
        </w:rPr>
        <w:t xml:space="preserve"> </w:t>
      </w:r>
      <w:r w:rsidR="00053704">
        <w:rPr>
          <w:rFonts w:ascii="Avenir Next LT Pro" w:hAnsi="Avenir Next LT Pro"/>
          <w:sz w:val="24"/>
          <w:szCs w:val="24"/>
        </w:rPr>
        <w:t>has made dramatic improvements, and, in some ways leads the nation in transparency and protecting child</w:t>
      </w:r>
      <w:r w:rsidR="00963400">
        <w:rPr>
          <w:rFonts w:ascii="Avenir Next LT Pro" w:hAnsi="Avenir Next LT Pro"/>
          <w:sz w:val="24"/>
          <w:szCs w:val="24"/>
        </w:rPr>
        <w:t xml:space="preserve">ren’s rights. For example, this year, with legislation enacted by this legislature </w:t>
      </w:r>
      <w:r w:rsidR="00E15AC6">
        <w:rPr>
          <w:rFonts w:ascii="Avenir Next LT Pro" w:hAnsi="Avenir Next LT Pro"/>
          <w:sz w:val="24"/>
          <w:szCs w:val="24"/>
        </w:rPr>
        <w:t xml:space="preserve">DCS </w:t>
      </w:r>
      <w:r w:rsidR="009F538E">
        <w:rPr>
          <w:rFonts w:ascii="Avenir Next LT Pro" w:hAnsi="Avenir Next LT Pro"/>
          <w:sz w:val="24"/>
          <w:szCs w:val="24"/>
        </w:rPr>
        <w:t>ended the practice of taking</w:t>
      </w:r>
      <w:r w:rsidR="00166C7E">
        <w:rPr>
          <w:rFonts w:ascii="Avenir Next LT Pro" w:hAnsi="Avenir Next LT Pro"/>
          <w:sz w:val="24"/>
          <w:szCs w:val="24"/>
        </w:rPr>
        <w:t xml:space="preserve"> children’s federal social security and veteran survivor benefits, a first-of-</w:t>
      </w:r>
      <w:proofErr w:type="spellStart"/>
      <w:r w:rsidR="00166C7E">
        <w:rPr>
          <w:rFonts w:ascii="Avenir Next LT Pro" w:hAnsi="Avenir Next LT Pro"/>
          <w:sz w:val="24"/>
          <w:szCs w:val="24"/>
        </w:rPr>
        <w:t>it’s</w:t>
      </w:r>
      <w:proofErr w:type="spellEnd"/>
      <w:r w:rsidR="00166C7E">
        <w:rPr>
          <w:rFonts w:ascii="Avenir Next LT Pro" w:hAnsi="Avenir Next LT Pro"/>
          <w:sz w:val="24"/>
          <w:szCs w:val="24"/>
        </w:rPr>
        <w:t xml:space="preserve">-kind, statewide initiative. Additionally, the amount of data </w:t>
      </w:r>
      <w:r w:rsidR="00897BEC">
        <w:rPr>
          <w:rFonts w:ascii="Avenir Next LT Pro" w:hAnsi="Avenir Next LT Pro"/>
          <w:sz w:val="24"/>
          <w:szCs w:val="24"/>
        </w:rPr>
        <w:t xml:space="preserve">that is published monthly and readily available to the public is unsurpassed by other state systems. </w:t>
      </w:r>
    </w:p>
    <w:p w14:paraId="564A0576" w14:textId="77777777" w:rsidR="00897BEC" w:rsidRDefault="00897BEC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781FAE58" w14:textId="77777777" w:rsidR="00AD1B83" w:rsidRDefault="00F46753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For these reasons, the Center supports the continuation of DCS and ongoing efforts to improve the existing </w:t>
      </w:r>
      <w:r w:rsidR="00AD1B83">
        <w:rPr>
          <w:rFonts w:ascii="Avenir Next LT Pro" w:hAnsi="Avenir Next LT Pro"/>
          <w:sz w:val="24"/>
          <w:szCs w:val="24"/>
        </w:rPr>
        <w:t>system.</w:t>
      </w:r>
    </w:p>
    <w:p w14:paraId="5A381852" w14:textId="77777777" w:rsidR="00AD1B83" w:rsidRDefault="00AD1B83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34F5A100" w14:textId="30942C8D" w:rsidR="00EE6C4C" w:rsidRDefault="00AD1B83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Again, </w:t>
      </w:r>
      <w:r w:rsidR="00EF60EB">
        <w:rPr>
          <w:rFonts w:ascii="Avenir Next LT Pro" w:hAnsi="Avenir Next LT Pro"/>
          <w:sz w:val="24"/>
          <w:szCs w:val="24"/>
        </w:rPr>
        <w:t xml:space="preserve">our </w:t>
      </w:r>
      <w:proofErr w:type="gramStart"/>
      <w:r>
        <w:rPr>
          <w:rFonts w:ascii="Avenir Next LT Pro" w:hAnsi="Avenir Next LT Pro"/>
          <w:sz w:val="24"/>
          <w:szCs w:val="24"/>
        </w:rPr>
        <w:t>support</w:t>
      </w:r>
      <w:proofErr w:type="gramEnd"/>
      <w:r>
        <w:rPr>
          <w:rFonts w:ascii="Avenir Next LT Pro" w:hAnsi="Avenir Next LT Pro"/>
          <w:sz w:val="24"/>
          <w:szCs w:val="24"/>
        </w:rPr>
        <w:t xml:space="preserve"> its continuation</w:t>
      </w:r>
      <w:r w:rsidR="00C718CC">
        <w:rPr>
          <w:rFonts w:ascii="Avenir Next LT Pro" w:hAnsi="Avenir Next LT Pro"/>
          <w:sz w:val="24"/>
          <w:szCs w:val="24"/>
        </w:rPr>
        <w:t xml:space="preserve"> does not mean that there is no need for continual reform. W</w:t>
      </w:r>
      <w:r>
        <w:rPr>
          <w:rFonts w:ascii="Avenir Next LT Pro" w:hAnsi="Avenir Next LT Pro"/>
          <w:sz w:val="24"/>
          <w:szCs w:val="24"/>
        </w:rPr>
        <w:t xml:space="preserve">e </w:t>
      </w:r>
      <w:r w:rsidR="00C718CC">
        <w:rPr>
          <w:rFonts w:ascii="Avenir Next LT Pro" w:hAnsi="Avenir Next LT Pro"/>
          <w:sz w:val="24"/>
          <w:szCs w:val="24"/>
        </w:rPr>
        <w:t>believe that there is much we can do</w:t>
      </w:r>
      <w:r w:rsidR="00E5260C">
        <w:rPr>
          <w:rFonts w:ascii="Avenir Next LT Pro" w:hAnsi="Avenir Next LT Pro"/>
          <w:sz w:val="24"/>
          <w:szCs w:val="24"/>
        </w:rPr>
        <w:t xml:space="preserve"> to improve child safety and protect the rights of abused and neglected children. </w:t>
      </w:r>
      <w:r w:rsidR="002342B6">
        <w:rPr>
          <w:rFonts w:ascii="Avenir Next LT Pro" w:hAnsi="Avenir Next LT Pro"/>
          <w:sz w:val="24"/>
          <w:szCs w:val="24"/>
        </w:rPr>
        <w:t>For example, w</w:t>
      </w:r>
      <w:r w:rsidR="00FB1AA1">
        <w:rPr>
          <w:rFonts w:ascii="Avenir Next LT Pro" w:hAnsi="Avenir Next LT Pro"/>
          <w:sz w:val="24"/>
          <w:szCs w:val="24"/>
        </w:rPr>
        <w:t xml:space="preserve">e have been concerned with the rising child </w:t>
      </w:r>
      <w:r w:rsidR="002342B6">
        <w:rPr>
          <w:rFonts w:ascii="Avenir Next LT Pro" w:hAnsi="Avenir Next LT Pro"/>
          <w:sz w:val="24"/>
          <w:szCs w:val="24"/>
        </w:rPr>
        <w:t xml:space="preserve">maltreatment </w:t>
      </w:r>
      <w:r w:rsidR="00FB1AA1">
        <w:rPr>
          <w:rFonts w:ascii="Avenir Next LT Pro" w:hAnsi="Avenir Next LT Pro"/>
          <w:sz w:val="24"/>
          <w:szCs w:val="24"/>
        </w:rPr>
        <w:t>fa</w:t>
      </w:r>
      <w:r w:rsidR="00A918BF">
        <w:rPr>
          <w:rFonts w:ascii="Avenir Next LT Pro" w:hAnsi="Avenir Next LT Pro"/>
          <w:sz w:val="24"/>
          <w:szCs w:val="24"/>
        </w:rPr>
        <w:t>tality</w:t>
      </w:r>
      <w:r w:rsidR="002342B6">
        <w:rPr>
          <w:rFonts w:ascii="Avenir Next LT Pro" w:hAnsi="Avenir Next LT Pro"/>
          <w:sz w:val="24"/>
          <w:szCs w:val="24"/>
        </w:rPr>
        <w:t xml:space="preserve"> rate</w:t>
      </w:r>
      <w:r w:rsidR="00E5260C">
        <w:rPr>
          <w:rFonts w:ascii="Avenir Next LT Pro" w:hAnsi="Avenir Next LT Pro"/>
          <w:sz w:val="24"/>
          <w:szCs w:val="24"/>
        </w:rPr>
        <w:t>,</w:t>
      </w:r>
      <w:r w:rsidR="002342B6">
        <w:rPr>
          <w:rStyle w:val="FootnoteReference"/>
          <w:rFonts w:ascii="Avenir Next LT Pro" w:hAnsi="Avenir Next LT Pro"/>
          <w:sz w:val="24"/>
          <w:szCs w:val="24"/>
        </w:rPr>
        <w:footnoteReference w:id="4"/>
      </w:r>
      <w:r w:rsidR="00E5260C">
        <w:rPr>
          <w:rFonts w:ascii="Avenir Next LT Pro" w:hAnsi="Avenir Next LT Pro"/>
          <w:sz w:val="24"/>
          <w:szCs w:val="24"/>
        </w:rPr>
        <w:t xml:space="preserve"> poor academic performance</w:t>
      </w:r>
      <w:r w:rsidR="00020182">
        <w:rPr>
          <w:rFonts w:ascii="Avenir Next LT Pro" w:hAnsi="Avenir Next LT Pro"/>
          <w:sz w:val="24"/>
          <w:szCs w:val="24"/>
        </w:rPr>
        <w:t xml:space="preserve"> among children in care,</w:t>
      </w:r>
      <w:r w:rsidR="00134856">
        <w:rPr>
          <w:rStyle w:val="FootnoteReference"/>
          <w:rFonts w:ascii="Avenir Next LT Pro" w:hAnsi="Avenir Next LT Pro"/>
          <w:sz w:val="24"/>
          <w:szCs w:val="24"/>
        </w:rPr>
        <w:footnoteReference w:id="5"/>
      </w:r>
      <w:r w:rsidR="00020182">
        <w:rPr>
          <w:rFonts w:ascii="Avenir Next LT Pro" w:hAnsi="Avenir Next LT Pro"/>
          <w:sz w:val="24"/>
          <w:szCs w:val="24"/>
        </w:rPr>
        <w:t xml:space="preserve"> </w:t>
      </w:r>
      <w:r w:rsidR="001B1552">
        <w:rPr>
          <w:rFonts w:ascii="Avenir Next LT Pro" w:hAnsi="Avenir Next LT Pro"/>
          <w:sz w:val="24"/>
          <w:szCs w:val="24"/>
        </w:rPr>
        <w:t>in</w:t>
      </w:r>
      <w:r w:rsidR="0093432E">
        <w:rPr>
          <w:rFonts w:ascii="Avenir Next LT Pro" w:hAnsi="Avenir Next LT Pro"/>
          <w:sz w:val="24"/>
          <w:szCs w:val="24"/>
        </w:rPr>
        <w:t>stability</w:t>
      </w:r>
      <w:r w:rsidR="0014675F">
        <w:rPr>
          <w:rFonts w:ascii="Avenir Next LT Pro" w:hAnsi="Avenir Next LT Pro"/>
          <w:sz w:val="24"/>
          <w:szCs w:val="24"/>
        </w:rPr>
        <w:t>, delayed permanency</w:t>
      </w:r>
      <w:r w:rsidR="00737F16">
        <w:rPr>
          <w:rFonts w:ascii="Avenir Next LT Pro" w:hAnsi="Avenir Next LT Pro"/>
          <w:sz w:val="24"/>
          <w:szCs w:val="24"/>
        </w:rPr>
        <w:t>, and inadequate representation</w:t>
      </w:r>
      <w:r w:rsidR="0014675F">
        <w:rPr>
          <w:rFonts w:ascii="Avenir Next LT Pro" w:hAnsi="Avenir Next LT Pro"/>
          <w:sz w:val="24"/>
          <w:szCs w:val="24"/>
        </w:rPr>
        <w:t xml:space="preserve">. </w:t>
      </w:r>
      <w:r w:rsidR="00741972">
        <w:rPr>
          <w:rFonts w:ascii="Avenir Next LT Pro" w:hAnsi="Avenir Next LT Pro"/>
          <w:sz w:val="24"/>
          <w:szCs w:val="24"/>
        </w:rPr>
        <w:t xml:space="preserve">Additionally, the </w:t>
      </w:r>
      <w:r w:rsidR="00D458A3">
        <w:rPr>
          <w:rFonts w:ascii="Avenir Next LT Pro" w:hAnsi="Avenir Next LT Pro"/>
          <w:sz w:val="24"/>
          <w:szCs w:val="24"/>
        </w:rPr>
        <w:t xml:space="preserve">performance audit and </w:t>
      </w:r>
      <w:r w:rsidR="007C5837">
        <w:rPr>
          <w:rFonts w:ascii="Avenir Next LT Pro" w:hAnsi="Avenir Next LT Pro"/>
          <w:sz w:val="24"/>
          <w:szCs w:val="24"/>
        </w:rPr>
        <w:t>sunset</w:t>
      </w:r>
      <w:r w:rsidR="00D458A3">
        <w:rPr>
          <w:rFonts w:ascii="Avenir Next LT Pro" w:hAnsi="Avenir Next LT Pro"/>
          <w:sz w:val="24"/>
          <w:szCs w:val="24"/>
        </w:rPr>
        <w:t xml:space="preserve"> review conducted by the Arizona Auditor General</w:t>
      </w:r>
      <w:r w:rsidR="007C5837">
        <w:rPr>
          <w:rFonts w:ascii="Avenir Next LT Pro" w:hAnsi="Avenir Next LT Pro"/>
          <w:sz w:val="24"/>
          <w:szCs w:val="24"/>
        </w:rPr>
        <w:t xml:space="preserve"> highlights numerous </w:t>
      </w:r>
      <w:r w:rsidR="00E57B45">
        <w:rPr>
          <w:rFonts w:ascii="Avenir Next LT Pro" w:hAnsi="Avenir Next LT Pro"/>
          <w:sz w:val="24"/>
          <w:szCs w:val="24"/>
        </w:rPr>
        <w:t>opportunities for change, including 42 remaining recommendations of the 58</w:t>
      </w:r>
      <w:r w:rsidR="000C56C3">
        <w:rPr>
          <w:rFonts w:ascii="Avenir Next LT Pro" w:hAnsi="Avenir Next LT Pro"/>
          <w:sz w:val="24"/>
          <w:szCs w:val="24"/>
        </w:rPr>
        <w:t xml:space="preserve"> audit reports have recommended </w:t>
      </w:r>
      <w:r w:rsidR="002172A4">
        <w:rPr>
          <w:rFonts w:ascii="Avenir Next LT Pro" w:hAnsi="Avenir Next LT Pro"/>
          <w:sz w:val="24"/>
          <w:szCs w:val="24"/>
        </w:rPr>
        <w:t>since 2016.</w:t>
      </w:r>
      <w:r w:rsidR="002172A4">
        <w:rPr>
          <w:rStyle w:val="FootnoteReference"/>
          <w:rFonts w:ascii="Avenir Next LT Pro" w:hAnsi="Avenir Next LT Pro"/>
          <w:sz w:val="24"/>
          <w:szCs w:val="24"/>
        </w:rPr>
        <w:footnoteReference w:id="6"/>
      </w:r>
      <w:r w:rsidR="00D458A3">
        <w:rPr>
          <w:rFonts w:ascii="Avenir Next LT Pro" w:hAnsi="Avenir Next LT Pro"/>
          <w:sz w:val="24"/>
          <w:szCs w:val="24"/>
        </w:rPr>
        <w:t xml:space="preserve"> </w:t>
      </w:r>
      <w:r w:rsidR="0093432E">
        <w:rPr>
          <w:rFonts w:ascii="Avenir Next LT Pro" w:hAnsi="Avenir Next LT Pro"/>
          <w:sz w:val="24"/>
          <w:szCs w:val="24"/>
        </w:rPr>
        <w:t xml:space="preserve"> </w:t>
      </w:r>
      <w:r w:rsidR="00897BEC">
        <w:rPr>
          <w:rFonts w:ascii="Avenir Next LT Pro" w:hAnsi="Avenir Next LT Pro"/>
          <w:sz w:val="24"/>
          <w:szCs w:val="24"/>
        </w:rPr>
        <w:t xml:space="preserve"> </w:t>
      </w:r>
    </w:p>
    <w:p w14:paraId="5F930CA2" w14:textId="77777777" w:rsidR="00EE6C4C" w:rsidRDefault="00EE6C4C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1C29FEBB" w14:textId="3FC974D7" w:rsidR="00491548" w:rsidRDefault="00CA3692" w:rsidP="052C63AA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 </w:t>
      </w:r>
      <w:r w:rsidR="00EE6C4C">
        <w:rPr>
          <w:rFonts w:ascii="Avenir Next LT Pro" w:hAnsi="Avenir Next LT Pro"/>
          <w:sz w:val="24"/>
          <w:szCs w:val="24"/>
        </w:rPr>
        <w:t xml:space="preserve">There is much </w:t>
      </w:r>
      <w:r w:rsidR="009E16BA">
        <w:rPr>
          <w:rFonts w:ascii="Avenir Next LT Pro" w:hAnsi="Avenir Next LT Pro"/>
          <w:sz w:val="24"/>
          <w:szCs w:val="24"/>
        </w:rPr>
        <w:t xml:space="preserve">that we can do </w:t>
      </w:r>
      <w:r w:rsidR="00EE6C4C">
        <w:rPr>
          <w:rFonts w:ascii="Avenir Next LT Pro" w:hAnsi="Avenir Next LT Pro"/>
          <w:sz w:val="24"/>
          <w:szCs w:val="24"/>
        </w:rPr>
        <w:t xml:space="preserve">to </w:t>
      </w:r>
      <w:r w:rsidR="00474CA3">
        <w:rPr>
          <w:rFonts w:ascii="Avenir Next LT Pro" w:hAnsi="Avenir Next LT Pro"/>
          <w:sz w:val="24"/>
          <w:szCs w:val="24"/>
        </w:rPr>
        <w:t>refocus the system on the children</w:t>
      </w:r>
      <w:r w:rsidR="009E16BA">
        <w:rPr>
          <w:rFonts w:ascii="Avenir Next LT Pro" w:hAnsi="Avenir Next LT Pro"/>
          <w:sz w:val="24"/>
          <w:szCs w:val="24"/>
        </w:rPr>
        <w:t xml:space="preserve"> (rather than the adults)</w:t>
      </w:r>
      <w:r w:rsidR="00474CA3">
        <w:rPr>
          <w:rFonts w:ascii="Avenir Next LT Pro" w:hAnsi="Avenir Next LT Pro"/>
          <w:sz w:val="24"/>
          <w:szCs w:val="24"/>
        </w:rPr>
        <w:t xml:space="preserve">, children’s safety, and </w:t>
      </w:r>
      <w:r w:rsidR="009E16BA">
        <w:rPr>
          <w:rFonts w:ascii="Avenir Next LT Pro" w:hAnsi="Avenir Next LT Pro"/>
          <w:sz w:val="24"/>
          <w:szCs w:val="24"/>
        </w:rPr>
        <w:t>children’s rights</w:t>
      </w:r>
      <w:r w:rsidR="002172A4">
        <w:rPr>
          <w:rFonts w:ascii="Avenir Next LT Pro" w:hAnsi="Avenir Next LT Pro"/>
          <w:sz w:val="24"/>
          <w:szCs w:val="24"/>
        </w:rPr>
        <w:t xml:space="preserve">. </w:t>
      </w:r>
      <w:r w:rsidR="009E16BA">
        <w:rPr>
          <w:rFonts w:ascii="Avenir Next LT Pro" w:hAnsi="Avenir Next LT Pro"/>
          <w:sz w:val="24"/>
          <w:szCs w:val="24"/>
        </w:rPr>
        <w:t>W</w:t>
      </w:r>
      <w:r w:rsidR="002172A4">
        <w:rPr>
          <w:rFonts w:ascii="Avenir Next LT Pro" w:hAnsi="Avenir Next LT Pro"/>
          <w:sz w:val="24"/>
          <w:szCs w:val="24"/>
        </w:rPr>
        <w:t>e look forward to working with the legislat</w:t>
      </w:r>
      <w:r w:rsidR="00BA084C">
        <w:rPr>
          <w:rFonts w:ascii="Avenir Next LT Pro" w:hAnsi="Avenir Next LT Pro"/>
          <w:sz w:val="24"/>
          <w:szCs w:val="24"/>
        </w:rPr>
        <w:t>ure</w:t>
      </w:r>
      <w:r w:rsidR="002172A4">
        <w:rPr>
          <w:rFonts w:ascii="Avenir Next LT Pro" w:hAnsi="Avenir Next LT Pro"/>
          <w:sz w:val="24"/>
          <w:szCs w:val="24"/>
        </w:rPr>
        <w:t xml:space="preserve"> to </w:t>
      </w:r>
      <w:r w:rsidR="00BA084C">
        <w:rPr>
          <w:rFonts w:ascii="Avenir Next LT Pro" w:hAnsi="Avenir Next LT Pro"/>
          <w:sz w:val="24"/>
          <w:szCs w:val="24"/>
        </w:rPr>
        <w:t xml:space="preserve">improve oversight, make meaningful change, and help </w:t>
      </w:r>
      <w:r w:rsidR="002172A4">
        <w:rPr>
          <w:rFonts w:ascii="Avenir Next LT Pro" w:hAnsi="Avenir Next LT Pro"/>
          <w:sz w:val="24"/>
          <w:szCs w:val="24"/>
        </w:rPr>
        <w:t xml:space="preserve">make </w:t>
      </w:r>
      <w:r w:rsidR="006E00B4">
        <w:rPr>
          <w:rFonts w:ascii="Avenir Next LT Pro" w:hAnsi="Avenir Next LT Pro"/>
          <w:sz w:val="24"/>
          <w:szCs w:val="24"/>
        </w:rPr>
        <w:t xml:space="preserve">Arizona a safe place to be a child. </w:t>
      </w:r>
      <w:r w:rsidR="009F538E">
        <w:rPr>
          <w:rFonts w:ascii="Avenir Next LT Pro" w:hAnsi="Avenir Next LT Pro"/>
          <w:sz w:val="24"/>
          <w:szCs w:val="24"/>
        </w:rPr>
        <w:t xml:space="preserve"> </w:t>
      </w:r>
      <w:r w:rsidR="000F4F7D">
        <w:rPr>
          <w:rFonts w:ascii="Avenir Next LT Pro" w:hAnsi="Avenir Next LT Pro"/>
          <w:sz w:val="24"/>
          <w:szCs w:val="24"/>
        </w:rPr>
        <w:t xml:space="preserve"> </w:t>
      </w:r>
    </w:p>
    <w:p w14:paraId="7A9728B3" w14:textId="77777777" w:rsidR="00B7523D" w:rsidRDefault="00B7523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14A26656" w14:textId="77777777" w:rsidR="00B7523D" w:rsidRDefault="00B7523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7484C19F" w14:textId="77777777" w:rsidR="00B7523D" w:rsidRDefault="00B7523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6C77A73B" w14:textId="77777777" w:rsidR="00B7523D" w:rsidRDefault="00B7523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47C8A9B8" w14:textId="77777777" w:rsidR="00B7523D" w:rsidRDefault="00B7523D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3428696B" w14:textId="252B648F" w:rsidR="001F70C0" w:rsidRDefault="001F70C0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5AF4DB13" w14:textId="23B9D535" w:rsidR="006E00B4" w:rsidRPr="00BA084C" w:rsidRDefault="00BA084C" w:rsidP="052C63AA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</w:rPr>
        <w:t>Excerpt from a</w:t>
      </w:r>
      <w:r w:rsidR="006E00B4" w:rsidRPr="00BA084C">
        <w:rPr>
          <w:rFonts w:ascii="Avenir Next LT Pro" w:hAnsi="Avenir Next LT Pro"/>
          <w:b/>
          <w:bCs/>
          <w:sz w:val="24"/>
          <w:szCs w:val="24"/>
        </w:rPr>
        <w:t xml:space="preserve"> statement </w:t>
      </w:r>
      <w:r>
        <w:rPr>
          <w:rFonts w:ascii="Avenir Next LT Pro" w:hAnsi="Avenir Next LT Pro"/>
          <w:b/>
          <w:bCs/>
          <w:sz w:val="24"/>
          <w:szCs w:val="24"/>
        </w:rPr>
        <w:t>by</w:t>
      </w:r>
      <w:r w:rsidR="006E00B4" w:rsidRPr="00BA084C">
        <w:rPr>
          <w:rFonts w:ascii="Avenir Next LT Pro" w:hAnsi="Avenir Next LT Pro"/>
          <w:b/>
          <w:bCs/>
          <w:sz w:val="24"/>
          <w:szCs w:val="24"/>
        </w:rPr>
        <w:t xml:space="preserve"> Governor Brewer at the Time the Department was </w:t>
      </w:r>
      <w:proofErr w:type="gramStart"/>
      <w:r w:rsidR="006E00B4" w:rsidRPr="00BA084C">
        <w:rPr>
          <w:rFonts w:ascii="Avenir Next LT Pro" w:hAnsi="Avenir Next LT Pro"/>
          <w:b/>
          <w:bCs/>
          <w:sz w:val="24"/>
          <w:szCs w:val="24"/>
        </w:rPr>
        <w:t>Created</w:t>
      </w:r>
      <w:proofErr w:type="gramEnd"/>
    </w:p>
    <w:p w14:paraId="5B686E7A" w14:textId="77777777" w:rsidR="006E00B4" w:rsidRDefault="006E00B4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135F5D6B" w14:textId="3B937B21" w:rsidR="00D938BC" w:rsidRDefault="001F70C0" w:rsidP="052C63AA">
      <w:pPr>
        <w:jc w:val="both"/>
        <w:rPr>
          <w:rFonts w:ascii="Avenir Next LT Pro" w:hAnsi="Avenir Next LT Pro"/>
          <w:i/>
          <w:iCs/>
          <w:sz w:val="24"/>
          <w:szCs w:val="24"/>
        </w:rPr>
      </w:pPr>
      <w:r w:rsidRPr="001F70C0">
        <w:rPr>
          <w:rFonts w:ascii="Avenir Next LT Pro" w:hAnsi="Avenir Next LT Pro"/>
          <w:i/>
          <w:iCs/>
          <w:sz w:val="24"/>
          <w:szCs w:val="24"/>
        </w:rPr>
        <w:t xml:space="preserve">“With this historic legislation, we begin to reverse a longstanding crisis and implement long-lasting change. Through necessary resources, safeguards, checks and balances and oversight – as well as a clearly-defined core mission of child safety – there will be no room for excuses, </w:t>
      </w:r>
      <w:proofErr w:type="gramStart"/>
      <w:r w:rsidRPr="001F70C0">
        <w:rPr>
          <w:rFonts w:ascii="Avenir Next LT Pro" w:hAnsi="Avenir Next LT Pro"/>
          <w:i/>
          <w:iCs/>
          <w:sz w:val="24"/>
          <w:szCs w:val="24"/>
        </w:rPr>
        <w:t>secrets</w:t>
      </w:r>
      <w:proofErr w:type="gramEnd"/>
      <w:r w:rsidRPr="001F70C0">
        <w:rPr>
          <w:rFonts w:ascii="Avenir Next LT Pro" w:hAnsi="Avenir Next LT Pro"/>
          <w:i/>
          <w:iCs/>
          <w:sz w:val="24"/>
          <w:szCs w:val="24"/>
        </w:rPr>
        <w:t xml:space="preserve"> or faceless decision makers. There will be no more mixed messages and competing priorities. Finally, Arizona will have a child safety system with the capability and culture to protect our children.</w:t>
      </w:r>
    </w:p>
    <w:p w14:paraId="4ADE3E60" w14:textId="4C8F96A8" w:rsidR="0010187E" w:rsidRDefault="001F70C0" w:rsidP="052C63AA">
      <w:pPr>
        <w:jc w:val="both"/>
        <w:rPr>
          <w:rFonts w:ascii="Avenir Next LT Pro" w:hAnsi="Avenir Next LT Pro"/>
          <w:sz w:val="24"/>
          <w:szCs w:val="24"/>
        </w:rPr>
      </w:pPr>
      <w:r w:rsidRPr="001F70C0">
        <w:rPr>
          <w:rFonts w:ascii="Avenir Next LT Pro" w:hAnsi="Avenir Next LT Pro"/>
          <w:i/>
          <w:iCs/>
          <w:sz w:val="24"/>
          <w:szCs w:val="24"/>
        </w:rPr>
        <w:t> </w:t>
      </w:r>
      <w:r w:rsidRPr="001F70C0">
        <w:rPr>
          <w:rFonts w:ascii="Avenir Next LT Pro" w:hAnsi="Avenir Next LT Pro"/>
          <w:i/>
          <w:iCs/>
          <w:sz w:val="24"/>
          <w:szCs w:val="24"/>
        </w:rPr>
        <w:br/>
        <w:t xml:space="preserve">“Certainly, a system that has been broken for decades will take time to repair. Implementing true and lasting reform in any agency – especially one with such a vital mission and vulnerable population – will take time. But for the first time in state history, we are on a clear path to a successful child safety system that will not fail in its mission. I thank the bi-partisan Child Safety Reform Workgroup, the CARE Team, the stakeholders and advocates, the Legislature and everyone who has played a part in this crucial and overdue cause. </w:t>
      </w:r>
      <w:r w:rsidRPr="00D938BC">
        <w:rPr>
          <w:rFonts w:ascii="Avenir Next LT Pro" w:hAnsi="Avenir Next LT Pro"/>
          <w:b/>
          <w:bCs/>
          <w:i/>
          <w:iCs/>
          <w:sz w:val="24"/>
          <w:szCs w:val="24"/>
        </w:rPr>
        <w:t>This is only the beginning, and it will be incumbent upon future governors and legislators to continue our remarkable progress</w:t>
      </w:r>
      <w:r w:rsidRPr="001F70C0">
        <w:rPr>
          <w:rFonts w:ascii="Avenir Next LT Pro" w:hAnsi="Avenir Next LT Pro"/>
          <w:i/>
          <w:iCs/>
          <w:sz w:val="24"/>
          <w:szCs w:val="24"/>
        </w:rPr>
        <w:t>.”</w:t>
      </w:r>
      <w:r w:rsidR="008C5390">
        <w:br/>
      </w:r>
    </w:p>
    <w:p w14:paraId="1F7CEE22" w14:textId="77777777" w:rsidR="0010187E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</w:p>
    <w:p w14:paraId="1E1056FB" w14:textId="77777777" w:rsidR="0010187E" w:rsidRDefault="0010187E" w:rsidP="052C63AA">
      <w:pPr>
        <w:jc w:val="both"/>
        <w:rPr>
          <w:rFonts w:ascii="Avenir Next LT Pro" w:hAnsi="Avenir Next LT Pro"/>
          <w:sz w:val="24"/>
          <w:szCs w:val="24"/>
        </w:rPr>
      </w:pPr>
    </w:p>
    <w:sectPr w:rsidR="0010187E" w:rsidSect="00C829DE">
      <w:headerReference w:type="default" r:id="rId11"/>
      <w:footerReference w:type="default" r:id="rId12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7BDD" w14:textId="77777777" w:rsidR="008650C2" w:rsidRDefault="008650C2" w:rsidP="00C829DE">
      <w:r>
        <w:separator/>
      </w:r>
    </w:p>
  </w:endnote>
  <w:endnote w:type="continuationSeparator" w:id="0">
    <w:p w14:paraId="7306F366" w14:textId="77777777" w:rsidR="008650C2" w:rsidRDefault="008650C2" w:rsidP="00C829DE">
      <w:r>
        <w:continuationSeparator/>
      </w:r>
    </w:p>
  </w:endnote>
  <w:endnote w:type="continuationNotice" w:id="1">
    <w:p w14:paraId="665F821A" w14:textId="77777777" w:rsidR="008650C2" w:rsidRDefault="00865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B5D7" w14:textId="6E1959DB" w:rsidR="00FF7E5C" w:rsidRPr="00FF7E5C" w:rsidRDefault="00FF7E5C" w:rsidP="00FF7E5C">
    <w:pPr>
      <w:tabs>
        <w:tab w:val="center" w:pos="4680"/>
        <w:tab w:val="right" w:pos="9360"/>
      </w:tabs>
      <w:ind w:left="4680" w:hanging="4680"/>
      <w:jc w:val="center"/>
      <w:rPr>
        <w:rFonts w:ascii="Avenir Next" w:hAnsi="Avenir Next" w:cstheme="minorBidi"/>
        <w:sz w:val="18"/>
        <w:szCs w:val="18"/>
      </w:rPr>
    </w:pPr>
    <w:proofErr w:type="gramStart"/>
    <w:r w:rsidRPr="00FF7E5C">
      <w:rPr>
        <w:rFonts w:ascii="Avenir Next" w:hAnsi="Avenir Next" w:cstheme="minorBidi"/>
        <w:sz w:val="18"/>
        <w:szCs w:val="18"/>
      </w:rPr>
      <w:t>thecenterforchildren.org  |</w:t>
    </w:r>
    <w:proofErr w:type="gramEnd"/>
    <w:r w:rsidRPr="00FF7E5C">
      <w:rPr>
        <w:rFonts w:ascii="Avenir Next" w:hAnsi="Avenir Next" w:cstheme="minorBidi"/>
        <w:sz w:val="18"/>
        <w:szCs w:val="18"/>
      </w:rPr>
      <w:t xml:space="preserve">  3900 East Camelback Road, Suite 300, Phoenix, AZ 85018  |  602.710.1135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80F2" w14:textId="77777777" w:rsidR="008650C2" w:rsidRDefault="008650C2" w:rsidP="00C829DE">
      <w:r>
        <w:separator/>
      </w:r>
    </w:p>
  </w:footnote>
  <w:footnote w:type="continuationSeparator" w:id="0">
    <w:p w14:paraId="39F09A5F" w14:textId="77777777" w:rsidR="008650C2" w:rsidRDefault="008650C2" w:rsidP="00C829DE">
      <w:r>
        <w:continuationSeparator/>
      </w:r>
    </w:p>
  </w:footnote>
  <w:footnote w:type="continuationNotice" w:id="1">
    <w:p w14:paraId="000F4804" w14:textId="77777777" w:rsidR="008650C2" w:rsidRDefault="008650C2"/>
  </w:footnote>
  <w:footnote w:id="2">
    <w:p w14:paraId="3325CDCB" w14:textId="7D711087" w:rsidR="00B94E36" w:rsidRPr="00B94E36" w:rsidRDefault="00C30AB1" w:rsidP="00B94E36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Arizona </w:t>
      </w:r>
      <w:proofErr w:type="spellStart"/>
      <w:r>
        <w:t>Dep’t</w:t>
      </w:r>
      <w:proofErr w:type="spellEnd"/>
      <w:r>
        <w:t xml:space="preserve">. of Child Safety, </w:t>
      </w:r>
      <w:r w:rsidR="00B94E36" w:rsidRPr="00AF60C7">
        <w:rPr>
          <w:i/>
          <w:iCs/>
        </w:rPr>
        <w:t>Creates Department of Child Safety, Ensures Transparency &amp; Accountability</w:t>
      </w:r>
      <w:r w:rsidR="00AF60C7">
        <w:t>,</w:t>
      </w:r>
    </w:p>
    <w:p w14:paraId="5964AB3B" w14:textId="4C54C09C" w:rsidR="00C30AB1" w:rsidRDefault="00C30AB1">
      <w:pPr>
        <w:pStyle w:val="FootnoteText"/>
      </w:pPr>
      <w:r w:rsidRPr="00C30AB1">
        <w:t>https://dcs.az.gov/news/creates-department-child-safety-ensures-transparency-accountability</w:t>
      </w:r>
    </w:p>
  </w:footnote>
  <w:footnote w:id="3">
    <w:p w14:paraId="0B523F84" w14:textId="58BC2A15" w:rsidR="00ED01DF" w:rsidRPr="00ED01DF" w:rsidRDefault="00ED01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Id</w:t>
      </w:r>
      <w:r>
        <w:t>.</w:t>
      </w:r>
    </w:p>
  </w:footnote>
  <w:footnote w:id="4">
    <w:p w14:paraId="28615404" w14:textId="77D45BD6" w:rsidR="002342B6" w:rsidRDefault="002342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C3B99" w:rsidRPr="00311476">
          <w:rPr>
            <w:rStyle w:val="Hyperlink"/>
          </w:rPr>
          <w:t>https://www.azdhs.gov/documents/prevention/womens-childrens-health/reports-fact-sheets/child-fatality-review-annual-reports/cfr-annual-report-2023.pdf</w:t>
        </w:r>
      </w:hyperlink>
      <w:r w:rsidR="00AC3B99">
        <w:t xml:space="preserve"> </w:t>
      </w:r>
    </w:p>
  </w:footnote>
  <w:footnote w:id="5">
    <w:p w14:paraId="585CDEAA" w14:textId="6795B7CB" w:rsidR="00134856" w:rsidRDefault="001348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311476">
          <w:rPr>
            <w:rStyle w:val="Hyperlink"/>
          </w:rPr>
          <w:t>https://view.officeapps.live.com/op/view.aspx?src=https%3A%2F%2Fwww.azed.gov%2Fsites%2Fdefault%2Ffiles%2F2023%2F05%2F4Ygraduation_rate_cohort_2022_redacted.xlsx&amp;wdOrigin=BROWSELINK</w:t>
        </w:r>
      </w:hyperlink>
      <w:r>
        <w:t xml:space="preserve"> </w:t>
      </w:r>
    </w:p>
  </w:footnote>
  <w:footnote w:id="6">
    <w:p w14:paraId="3F7DEA8D" w14:textId="402ACFDA" w:rsidR="002172A4" w:rsidRDefault="002172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11476">
          <w:rPr>
            <w:rStyle w:val="Hyperlink"/>
          </w:rPr>
          <w:t>https://www.azauditor.gov/sites/default/files/23-115_Report.pdf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7EAA" w14:textId="436C3A00" w:rsidR="00C829DE" w:rsidRDefault="00C829DE" w:rsidP="00C829DE">
    <w:pPr>
      <w:pStyle w:val="Header"/>
      <w:jc w:val="center"/>
    </w:pPr>
    <w:r>
      <w:rPr>
        <w:noProof/>
      </w:rPr>
      <w:drawing>
        <wp:inline distT="0" distB="0" distL="0" distR="0" wp14:anchorId="29F9F6A1" wp14:editId="75775627">
          <wp:extent cx="1256030" cy="530225"/>
          <wp:effectExtent l="0" t="0" r="127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4B00"/>
    <w:multiLevelType w:val="hybridMultilevel"/>
    <w:tmpl w:val="39781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1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3sDA3MzIwNzcxMTVU0lEKTi0uzszPAykwrAUALnFQqywAAAA="/>
  </w:docVars>
  <w:rsids>
    <w:rsidRoot w:val="000F4A8B"/>
    <w:rsid w:val="00000E13"/>
    <w:rsid w:val="000070BD"/>
    <w:rsid w:val="00020182"/>
    <w:rsid w:val="00027B23"/>
    <w:rsid w:val="0003002D"/>
    <w:rsid w:val="000345DC"/>
    <w:rsid w:val="00053704"/>
    <w:rsid w:val="000617EF"/>
    <w:rsid w:val="000663CF"/>
    <w:rsid w:val="00072A4A"/>
    <w:rsid w:val="000B6B3D"/>
    <w:rsid w:val="000C56C3"/>
    <w:rsid w:val="000D4A9D"/>
    <w:rsid w:val="000E2DF4"/>
    <w:rsid w:val="000F4A8B"/>
    <w:rsid w:val="000F4F7D"/>
    <w:rsid w:val="0010187E"/>
    <w:rsid w:val="00117B2D"/>
    <w:rsid w:val="00123A66"/>
    <w:rsid w:val="00126FF5"/>
    <w:rsid w:val="00134856"/>
    <w:rsid w:val="00143A36"/>
    <w:rsid w:val="0014675F"/>
    <w:rsid w:val="0016148C"/>
    <w:rsid w:val="00166C7E"/>
    <w:rsid w:val="00176769"/>
    <w:rsid w:val="001B1552"/>
    <w:rsid w:val="001E1EE2"/>
    <w:rsid w:val="001F116D"/>
    <w:rsid w:val="001F2FAD"/>
    <w:rsid w:val="001F70C0"/>
    <w:rsid w:val="002107CA"/>
    <w:rsid w:val="002172A4"/>
    <w:rsid w:val="00227BC8"/>
    <w:rsid w:val="002328A4"/>
    <w:rsid w:val="002342B6"/>
    <w:rsid w:val="0024775A"/>
    <w:rsid w:val="00251A9C"/>
    <w:rsid w:val="00286658"/>
    <w:rsid w:val="0028754F"/>
    <w:rsid w:val="00290A67"/>
    <w:rsid w:val="002A38DA"/>
    <w:rsid w:val="002B5242"/>
    <w:rsid w:val="002B7BEC"/>
    <w:rsid w:val="002C026A"/>
    <w:rsid w:val="002D279A"/>
    <w:rsid w:val="002F4D63"/>
    <w:rsid w:val="002F6657"/>
    <w:rsid w:val="0030001D"/>
    <w:rsid w:val="003332EA"/>
    <w:rsid w:val="003419EE"/>
    <w:rsid w:val="003433C6"/>
    <w:rsid w:val="003657E2"/>
    <w:rsid w:val="003826FE"/>
    <w:rsid w:val="00382903"/>
    <w:rsid w:val="003842C9"/>
    <w:rsid w:val="00384980"/>
    <w:rsid w:val="003869CD"/>
    <w:rsid w:val="003C3B13"/>
    <w:rsid w:val="003C7BE7"/>
    <w:rsid w:val="003D5861"/>
    <w:rsid w:val="003E1AEA"/>
    <w:rsid w:val="004105AE"/>
    <w:rsid w:val="00430E6B"/>
    <w:rsid w:val="00474CA3"/>
    <w:rsid w:val="00476004"/>
    <w:rsid w:val="00484E18"/>
    <w:rsid w:val="00491548"/>
    <w:rsid w:val="00493E85"/>
    <w:rsid w:val="0049723F"/>
    <w:rsid w:val="004A2756"/>
    <w:rsid w:val="004A4805"/>
    <w:rsid w:val="004D2D11"/>
    <w:rsid w:val="00500305"/>
    <w:rsid w:val="00524B9F"/>
    <w:rsid w:val="00526AE5"/>
    <w:rsid w:val="00554B98"/>
    <w:rsid w:val="00561972"/>
    <w:rsid w:val="005647A7"/>
    <w:rsid w:val="00577CC4"/>
    <w:rsid w:val="00594F48"/>
    <w:rsid w:val="005A3A9E"/>
    <w:rsid w:val="005D7659"/>
    <w:rsid w:val="005E5D07"/>
    <w:rsid w:val="005F2C71"/>
    <w:rsid w:val="005F6C75"/>
    <w:rsid w:val="00632F54"/>
    <w:rsid w:val="006367A1"/>
    <w:rsid w:val="006370BA"/>
    <w:rsid w:val="0065484A"/>
    <w:rsid w:val="0067128E"/>
    <w:rsid w:val="0067311A"/>
    <w:rsid w:val="006763E8"/>
    <w:rsid w:val="006B1253"/>
    <w:rsid w:val="006B5B22"/>
    <w:rsid w:val="006E00B4"/>
    <w:rsid w:val="006F32E2"/>
    <w:rsid w:val="0073703A"/>
    <w:rsid w:val="00737F16"/>
    <w:rsid w:val="00741839"/>
    <w:rsid w:val="00741972"/>
    <w:rsid w:val="00746BEE"/>
    <w:rsid w:val="00751B7E"/>
    <w:rsid w:val="007648EB"/>
    <w:rsid w:val="0076653B"/>
    <w:rsid w:val="0078091F"/>
    <w:rsid w:val="007C5837"/>
    <w:rsid w:val="007D6EED"/>
    <w:rsid w:val="007E5337"/>
    <w:rsid w:val="00805142"/>
    <w:rsid w:val="0082399F"/>
    <w:rsid w:val="008248CB"/>
    <w:rsid w:val="008650C2"/>
    <w:rsid w:val="00875B06"/>
    <w:rsid w:val="008765C4"/>
    <w:rsid w:val="00880430"/>
    <w:rsid w:val="00886E3A"/>
    <w:rsid w:val="00897BEC"/>
    <w:rsid w:val="008A1348"/>
    <w:rsid w:val="008C5390"/>
    <w:rsid w:val="008C555A"/>
    <w:rsid w:val="008D717D"/>
    <w:rsid w:val="008D7632"/>
    <w:rsid w:val="008E5267"/>
    <w:rsid w:val="008E53F0"/>
    <w:rsid w:val="008E5FBF"/>
    <w:rsid w:val="009024AE"/>
    <w:rsid w:val="00913B93"/>
    <w:rsid w:val="00920A39"/>
    <w:rsid w:val="009319CE"/>
    <w:rsid w:val="0093432E"/>
    <w:rsid w:val="00963400"/>
    <w:rsid w:val="00967506"/>
    <w:rsid w:val="009C3B35"/>
    <w:rsid w:val="009C4C8D"/>
    <w:rsid w:val="009D75AA"/>
    <w:rsid w:val="009E16BA"/>
    <w:rsid w:val="009E2216"/>
    <w:rsid w:val="009F213B"/>
    <w:rsid w:val="009F4C06"/>
    <w:rsid w:val="009F538E"/>
    <w:rsid w:val="00A11BBD"/>
    <w:rsid w:val="00A1745E"/>
    <w:rsid w:val="00A664E4"/>
    <w:rsid w:val="00A67805"/>
    <w:rsid w:val="00A82474"/>
    <w:rsid w:val="00A918BF"/>
    <w:rsid w:val="00AC3B99"/>
    <w:rsid w:val="00AD1B83"/>
    <w:rsid w:val="00AF4CC3"/>
    <w:rsid w:val="00AF60C7"/>
    <w:rsid w:val="00B31356"/>
    <w:rsid w:val="00B313FF"/>
    <w:rsid w:val="00B4393B"/>
    <w:rsid w:val="00B615A1"/>
    <w:rsid w:val="00B64946"/>
    <w:rsid w:val="00B7523D"/>
    <w:rsid w:val="00B76048"/>
    <w:rsid w:val="00B8161A"/>
    <w:rsid w:val="00B8725A"/>
    <w:rsid w:val="00B91845"/>
    <w:rsid w:val="00B94E36"/>
    <w:rsid w:val="00B96565"/>
    <w:rsid w:val="00BA084C"/>
    <w:rsid w:val="00BA56EA"/>
    <w:rsid w:val="00BD755E"/>
    <w:rsid w:val="00BF6C24"/>
    <w:rsid w:val="00C17FCA"/>
    <w:rsid w:val="00C30AB1"/>
    <w:rsid w:val="00C718CC"/>
    <w:rsid w:val="00C81C51"/>
    <w:rsid w:val="00C829DE"/>
    <w:rsid w:val="00CA0452"/>
    <w:rsid w:val="00CA3692"/>
    <w:rsid w:val="00CB1EA1"/>
    <w:rsid w:val="00CC759E"/>
    <w:rsid w:val="00CD22BF"/>
    <w:rsid w:val="00CF41FA"/>
    <w:rsid w:val="00D2599E"/>
    <w:rsid w:val="00D27061"/>
    <w:rsid w:val="00D458A3"/>
    <w:rsid w:val="00D70228"/>
    <w:rsid w:val="00D73D81"/>
    <w:rsid w:val="00D76563"/>
    <w:rsid w:val="00D938BC"/>
    <w:rsid w:val="00D93BFB"/>
    <w:rsid w:val="00D97290"/>
    <w:rsid w:val="00DA603E"/>
    <w:rsid w:val="00DB6FB5"/>
    <w:rsid w:val="00DD5EF6"/>
    <w:rsid w:val="00DF467D"/>
    <w:rsid w:val="00E01742"/>
    <w:rsid w:val="00E11E04"/>
    <w:rsid w:val="00E15AC6"/>
    <w:rsid w:val="00E26970"/>
    <w:rsid w:val="00E3347F"/>
    <w:rsid w:val="00E4775A"/>
    <w:rsid w:val="00E5260C"/>
    <w:rsid w:val="00E52D9F"/>
    <w:rsid w:val="00E57B45"/>
    <w:rsid w:val="00E81926"/>
    <w:rsid w:val="00E82E0B"/>
    <w:rsid w:val="00E8762B"/>
    <w:rsid w:val="00EA0BE6"/>
    <w:rsid w:val="00EA1537"/>
    <w:rsid w:val="00EA621B"/>
    <w:rsid w:val="00EB1CBC"/>
    <w:rsid w:val="00EB4473"/>
    <w:rsid w:val="00EC001E"/>
    <w:rsid w:val="00ED01DF"/>
    <w:rsid w:val="00EE6C4C"/>
    <w:rsid w:val="00EF37CB"/>
    <w:rsid w:val="00EF60EB"/>
    <w:rsid w:val="00F03E51"/>
    <w:rsid w:val="00F17AF6"/>
    <w:rsid w:val="00F270DF"/>
    <w:rsid w:val="00F319C8"/>
    <w:rsid w:val="00F46753"/>
    <w:rsid w:val="00F83196"/>
    <w:rsid w:val="00FB0ED9"/>
    <w:rsid w:val="00FB1AA1"/>
    <w:rsid w:val="00FE4E2E"/>
    <w:rsid w:val="00FF7E5C"/>
    <w:rsid w:val="03D4F2C0"/>
    <w:rsid w:val="0403AD7D"/>
    <w:rsid w:val="052C63AA"/>
    <w:rsid w:val="0CB4F4FC"/>
    <w:rsid w:val="11937909"/>
    <w:rsid w:val="308B6CE0"/>
    <w:rsid w:val="3934E046"/>
    <w:rsid w:val="3B4FFF61"/>
    <w:rsid w:val="40D36B78"/>
    <w:rsid w:val="4B0BA9BF"/>
    <w:rsid w:val="5A2C2C19"/>
    <w:rsid w:val="5C5DD441"/>
    <w:rsid w:val="61E14058"/>
    <w:rsid w:val="7512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1CDC"/>
  <w15:chartTrackingRefBased/>
  <w15:docId w15:val="{D45942EC-C663-4E73-B985-2E53D0B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B0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E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0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82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DE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2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DE"/>
    <w:rPr>
      <w:rFonts w:ascii="Calibri" w:hAnsi="Calibri" w:cs="Calibri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A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AB1"/>
    <w:rPr>
      <w:rFonts w:ascii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30AB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94E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AC3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zauditor.gov/sites/default/files/23-115_Report.pdf" TargetMode="External"/><Relationship Id="rId2" Type="http://schemas.openxmlformats.org/officeDocument/2006/relationships/hyperlink" Target="https://view.officeapps.live.com/op/view.aspx?src=https%3A%2F%2Fwww.azed.gov%2Fsites%2Fdefault%2Ffiles%2F2023%2F05%2F4Ygraduation_rate_cohort_2022_redacted.xlsx&amp;wdOrigin=BROWSELINK" TargetMode="External"/><Relationship Id="rId1" Type="http://schemas.openxmlformats.org/officeDocument/2006/relationships/hyperlink" Target="https://www.azdhs.gov/documents/prevention/womens-childrens-health/reports-fact-sheets/child-fatality-review-annual-reports/cfr-annual-report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1ace-d29b-49c2-b054-39b4e2281e5c" xsi:nil="true"/>
    <lcf76f155ced4ddcb4097134ff3c332f xmlns="0b582083-d483-48ff-98e4-a8e0cb44a8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31D6A2F2E5048BB128D91456B7D57" ma:contentTypeVersion="14" ma:contentTypeDescription="Create a new document." ma:contentTypeScope="" ma:versionID="29ceee13fa69586c05b85f23ac5ddac5">
  <xsd:schema xmlns:xsd="http://www.w3.org/2001/XMLSchema" xmlns:xs="http://www.w3.org/2001/XMLSchema" xmlns:p="http://schemas.microsoft.com/office/2006/metadata/properties" xmlns:ns2="cb6a1ace-d29b-49c2-b054-39b4e2281e5c" xmlns:ns3="0b582083-d483-48ff-98e4-a8e0cb44a8e8" targetNamespace="http://schemas.microsoft.com/office/2006/metadata/properties" ma:root="true" ma:fieldsID="a98dc5ba0488e73602f36210cdce6018" ns2:_="" ns3:_="">
    <xsd:import namespace="cb6a1ace-d29b-49c2-b054-39b4e2281e5c"/>
    <xsd:import namespace="0b582083-d483-48ff-98e4-a8e0cb44a8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1ace-d29b-49c2-b054-39b4e2281e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02714e-158d-4fba-a47d-b51c470b0daf}" ma:internalName="TaxCatchAll" ma:showField="CatchAllData" ma:web="cb6a1ace-d29b-49c2-b054-39b4e2281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2083-d483-48ff-98e4-a8e0cb44a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df61a2-e549-409d-9524-22634e89b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D1B22-48DE-4E7D-8284-9C0A47A2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B5B49-5237-47A0-B1EE-87E2C23917A1}">
  <ds:schemaRefs>
    <ds:schemaRef ds:uri="http://schemas.microsoft.com/office/2006/metadata/properties"/>
    <ds:schemaRef ds:uri="http://schemas.microsoft.com/office/infopath/2007/PartnerControls"/>
    <ds:schemaRef ds:uri="cb6a1ace-d29b-49c2-b054-39b4e2281e5c"/>
    <ds:schemaRef ds:uri="0b582083-d483-48ff-98e4-a8e0cb44a8e8"/>
  </ds:schemaRefs>
</ds:datastoreItem>
</file>

<file path=customXml/itemProps3.xml><?xml version="1.0" encoding="utf-8"?>
<ds:datastoreItem xmlns:ds="http://schemas.openxmlformats.org/officeDocument/2006/customXml" ds:itemID="{135D3533-8BE7-4B12-A04C-073995D51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a1ace-d29b-49c2-b054-39b4e2281e5c"/>
    <ds:schemaRef ds:uri="0b582083-d483-48ff-98e4-a8e0cb44a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BAB22-0DD3-4790-91AD-8DDDB021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Olsen</dc:creator>
  <cp:keywords/>
  <dc:description/>
  <cp:lastModifiedBy>Bradley Galbraith</cp:lastModifiedBy>
  <cp:revision>72</cp:revision>
  <dcterms:created xsi:type="dcterms:W3CDTF">2024-01-02T22:40:00Z</dcterms:created>
  <dcterms:modified xsi:type="dcterms:W3CDTF">2024-01-02T23:45:00Z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0x01010069D31D6A2F2E5048BB128D91456B7D57</vt:lpwstr>
  </property>
  <property fmtid="{D5CDD505-2E9C-101B-9397-08002B2CF9AE}" pid="3" name="MediaServiceImageTags">
    <vt:lpwstr/>
  </property>
</Properties>
</file>