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3CCA" w14:textId="2040979F" w:rsidR="00444AD9" w:rsidRDefault="005F3C98" w:rsidP="001F2FAD">
      <w:pPr>
        <w:spacing w:after="160" w:line="259" w:lineRule="auto"/>
        <w:jc w:val="center"/>
        <w:rPr>
          <w:rFonts w:ascii="Avenir Next LT Pro" w:hAnsi="Avenir Next LT Pro" w:cstheme="minorBidi"/>
          <w:b/>
          <w:bCs/>
          <w:color w:val="000000" w:themeColor="text1"/>
          <w:sz w:val="24"/>
          <w:szCs w:val="24"/>
        </w:rPr>
      </w:pPr>
      <w:r>
        <w:rPr>
          <w:rFonts w:ascii="Avenir Next LT Pro" w:hAnsi="Avenir Next LT Pro" w:cstheme="minorBidi"/>
          <w:b/>
          <w:bCs/>
          <w:color w:val="000000" w:themeColor="text1"/>
          <w:sz w:val="24"/>
          <w:szCs w:val="24"/>
        </w:rPr>
        <w:t xml:space="preserve">Support </w:t>
      </w:r>
      <w:r w:rsidR="00A90584">
        <w:rPr>
          <w:rFonts w:ascii="Avenir Next LT Pro" w:hAnsi="Avenir Next LT Pro" w:cstheme="minorBidi"/>
          <w:b/>
          <w:bCs/>
          <w:color w:val="000000" w:themeColor="text1"/>
          <w:sz w:val="24"/>
          <w:szCs w:val="24"/>
        </w:rPr>
        <w:t>for HB 2033</w:t>
      </w:r>
      <w:r w:rsidR="00444AD9">
        <w:rPr>
          <w:rFonts w:ascii="Avenir Next LT Pro" w:hAnsi="Avenir Next LT Pro" w:cstheme="minorBidi"/>
          <w:b/>
          <w:bCs/>
          <w:color w:val="000000" w:themeColor="text1"/>
          <w:sz w:val="24"/>
          <w:szCs w:val="24"/>
        </w:rPr>
        <w:t xml:space="preserve">: </w:t>
      </w:r>
    </w:p>
    <w:p w14:paraId="2574045E" w14:textId="4F33E2CA" w:rsidR="001F2FAD" w:rsidRPr="001F2FAD" w:rsidRDefault="00FF5CDE" w:rsidP="001F2FAD">
      <w:pPr>
        <w:spacing w:after="160" w:line="259" w:lineRule="auto"/>
        <w:jc w:val="center"/>
        <w:rPr>
          <w:rFonts w:ascii="Avenir Next LT Pro" w:hAnsi="Avenir Next LT Pro" w:cstheme="minorBidi"/>
          <w:color w:val="000000" w:themeColor="text1"/>
          <w:sz w:val="24"/>
          <w:szCs w:val="24"/>
        </w:rPr>
      </w:pPr>
      <w:r>
        <w:rPr>
          <w:rFonts w:ascii="Avenir Next LT Pro" w:hAnsi="Avenir Next LT Pro" w:cstheme="minorBidi"/>
          <w:b/>
          <w:bCs/>
          <w:color w:val="000000" w:themeColor="text1"/>
          <w:sz w:val="24"/>
          <w:szCs w:val="24"/>
        </w:rPr>
        <w:t xml:space="preserve">Appointing Client-directed Attorney for Children </w:t>
      </w:r>
    </w:p>
    <w:p w14:paraId="6ED847F6" w14:textId="70C98210" w:rsidR="001F2FAD" w:rsidRPr="001F2FAD" w:rsidRDefault="00175AB9" w:rsidP="001F2FAD">
      <w:pPr>
        <w:spacing w:after="160" w:line="259" w:lineRule="auto"/>
        <w:jc w:val="both"/>
        <w:rPr>
          <w:rFonts w:ascii="Avenir Next LT Pro" w:hAnsi="Avenir Next LT Pro" w:cs="Arial"/>
          <w:color w:val="000000" w:themeColor="text1"/>
          <w:sz w:val="24"/>
          <w:szCs w:val="24"/>
          <w:bdr w:val="none" w:sz="0" w:space="0" w:color="auto" w:frame="1"/>
        </w:rPr>
      </w:pPr>
      <w:r>
        <w:rPr>
          <w:rFonts w:ascii="Avenir Next LT Pro" w:hAnsi="Avenir Next LT Pro" w:cs="Arial"/>
          <w:color w:val="000000" w:themeColor="text1"/>
          <w:sz w:val="24"/>
          <w:szCs w:val="24"/>
          <w:shd w:val="clear" w:color="auto" w:fill="FFFFFF"/>
        </w:rPr>
        <w:t xml:space="preserve">Requiring the appointment of a client-directed attorney to represent children </w:t>
      </w:r>
      <w:r w:rsidR="009064A6">
        <w:rPr>
          <w:rFonts w:ascii="Avenir Next LT Pro" w:hAnsi="Avenir Next LT Pro" w:cs="Arial"/>
          <w:color w:val="000000" w:themeColor="text1"/>
          <w:sz w:val="24"/>
          <w:szCs w:val="24"/>
          <w:shd w:val="clear" w:color="auto" w:fill="FFFFFF"/>
        </w:rPr>
        <w:t xml:space="preserve">in abuse and </w:t>
      </w:r>
      <w:r w:rsidR="00230070">
        <w:rPr>
          <w:rFonts w:ascii="Avenir Next LT Pro" w:hAnsi="Avenir Next LT Pro" w:cs="Arial"/>
          <w:color w:val="000000" w:themeColor="text1"/>
          <w:sz w:val="24"/>
          <w:szCs w:val="24"/>
          <w:shd w:val="clear" w:color="auto" w:fill="FFFFFF"/>
        </w:rPr>
        <w:t>neglect</w:t>
      </w:r>
      <w:r w:rsidR="009064A6">
        <w:rPr>
          <w:rFonts w:ascii="Avenir Next LT Pro" w:hAnsi="Avenir Next LT Pro" w:cs="Arial"/>
          <w:color w:val="000000" w:themeColor="text1"/>
          <w:sz w:val="24"/>
          <w:szCs w:val="24"/>
          <w:shd w:val="clear" w:color="auto" w:fill="FFFFFF"/>
        </w:rPr>
        <w:t xml:space="preserve"> proceedings, giving children a voice.</w:t>
      </w:r>
      <w:r w:rsidR="00EC49F4">
        <w:rPr>
          <w:rFonts w:ascii="Avenir Next LT Pro" w:hAnsi="Avenir Next LT Pro" w:cs="Arial"/>
          <w:color w:val="000000" w:themeColor="text1"/>
          <w:sz w:val="24"/>
          <w:szCs w:val="24"/>
          <w:shd w:val="clear" w:color="auto" w:fill="FFFFFF"/>
        </w:rPr>
        <w:t xml:space="preserve"> </w:t>
      </w:r>
    </w:p>
    <w:p w14:paraId="7A4DA2F2" w14:textId="77777777" w:rsidR="001F2FAD" w:rsidRPr="001F2FAD" w:rsidRDefault="001F2FAD" w:rsidP="001F2FAD">
      <w:pPr>
        <w:spacing w:after="120" w:line="259" w:lineRule="auto"/>
        <w:jc w:val="center"/>
        <w:rPr>
          <w:rFonts w:ascii="Avenir Next LT Pro" w:hAnsi="Avenir Next LT Pro" w:cstheme="minorBidi"/>
          <w:sz w:val="24"/>
          <w:szCs w:val="24"/>
        </w:rPr>
      </w:pPr>
      <w:r w:rsidRPr="001F2FAD">
        <w:rPr>
          <w:rFonts w:ascii="Avenir Next LT Pro" w:hAnsi="Avenir Next LT Pro" w:cstheme="minorBidi"/>
          <w:b/>
          <w:bCs/>
          <w:sz w:val="24"/>
          <w:szCs w:val="24"/>
        </w:rPr>
        <w:t>In-Person Testimony</w:t>
      </w:r>
    </w:p>
    <w:p w14:paraId="0F71246A" w14:textId="675C5CB1" w:rsidR="001F2FAD" w:rsidRPr="001F2FAD" w:rsidRDefault="00387033" w:rsidP="001F2FAD">
      <w:pPr>
        <w:jc w:val="center"/>
        <w:rPr>
          <w:rFonts w:ascii="Avenir Next LT Pro" w:hAnsi="Avenir Next LT Pro" w:cstheme="minorBidi"/>
          <w:sz w:val="24"/>
          <w:szCs w:val="24"/>
        </w:rPr>
      </w:pPr>
      <w:r>
        <w:rPr>
          <w:rFonts w:ascii="Avenir Next LT Pro" w:hAnsi="Avenir Next LT Pro" w:cstheme="minorBidi"/>
          <w:sz w:val="24"/>
          <w:szCs w:val="24"/>
        </w:rPr>
        <w:t>Kendall Seal</w:t>
      </w:r>
      <w:r w:rsidR="001F2FAD" w:rsidRPr="001F2FAD">
        <w:rPr>
          <w:rFonts w:ascii="Avenir Next LT Pro" w:hAnsi="Avenir Next LT Pro" w:cstheme="minorBidi"/>
          <w:sz w:val="24"/>
          <w:szCs w:val="24"/>
        </w:rPr>
        <w:t xml:space="preserve">, </w:t>
      </w:r>
      <w:r>
        <w:rPr>
          <w:rFonts w:ascii="Avenir Next LT Pro" w:hAnsi="Avenir Next LT Pro" w:cstheme="minorBidi"/>
          <w:sz w:val="24"/>
          <w:szCs w:val="24"/>
        </w:rPr>
        <w:t>VP of Policy</w:t>
      </w:r>
      <w:r w:rsidR="001F2FAD" w:rsidRPr="001F2FAD">
        <w:rPr>
          <w:rFonts w:ascii="Avenir Next LT Pro" w:hAnsi="Avenir Next LT Pro" w:cstheme="minorBidi"/>
          <w:sz w:val="24"/>
          <w:szCs w:val="24"/>
        </w:rPr>
        <w:t xml:space="preserve"> </w:t>
      </w:r>
    </w:p>
    <w:p w14:paraId="028EABC9" w14:textId="77777777" w:rsidR="001F2FAD" w:rsidRPr="001F2FAD" w:rsidRDefault="001F2FAD" w:rsidP="001F2FAD">
      <w:pPr>
        <w:spacing w:after="120"/>
        <w:jc w:val="center"/>
        <w:rPr>
          <w:rFonts w:ascii="Avenir Next LT Pro" w:hAnsi="Avenir Next LT Pro" w:cstheme="minorBidi"/>
          <w:sz w:val="24"/>
          <w:szCs w:val="24"/>
        </w:rPr>
      </w:pPr>
      <w:r w:rsidRPr="001F2FAD">
        <w:rPr>
          <w:rFonts w:ascii="Avenir Next LT Pro" w:hAnsi="Avenir Next LT Pro" w:cstheme="minorBidi"/>
          <w:sz w:val="24"/>
          <w:szCs w:val="24"/>
        </w:rPr>
        <w:t>Center for the Rights of Abused Children</w:t>
      </w:r>
    </w:p>
    <w:p w14:paraId="3660F71E" w14:textId="5A362CCE" w:rsidR="001F2FAD" w:rsidRPr="001F2FAD" w:rsidRDefault="00EB5801" w:rsidP="001F2FAD">
      <w:pPr>
        <w:pBdr>
          <w:bottom w:val="single" w:sz="12" w:space="1" w:color="auto"/>
        </w:pBdr>
        <w:spacing w:after="120" w:line="259" w:lineRule="auto"/>
        <w:jc w:val="center"/>
        <w:rPr>
          <w:rFonts w:ascii="Avenir Next LT Pro" w:hAnsi="Avenir Next LT Pro" w:cstheme="minorBidi"/>
          <w:b/>
          <w:bCs/>
          <w:sz w:val="24"/>
          <w:szCs w:val="24"/>
        </w:rPr>
      </w:pPr>
      <w:r>
        <w:rPr>
          <w:rFonts w:ascii="Avenir Next LT Pro" w:hAnsi="Avenir Next LT Pro" w:cstheme="minorBidi"/>
          <w:b/>
          <w:bCs/>
          <w:sz w:val="24"/>
          <w:szCs w:val="24"/>
        </w:rPr>
        <w:t xml:space="preserve">House Children and Families </w:t>
      </w:r>
      <w:r w:rsidR="00F70B9D">
        <w:rPr>
          <w:rFonts w:ascii="Avenir Next LT Pro" w:hAnsi="Avenir Next LT Pro" w:cstheme="minorBidi"/>
          <w:b/>
          <w:bCs/>
          <w:sz w:val="24"/>
          <w:szCs w:val="24"/>
        </w:rPr>
        <w:t>Committee</w:t>
      </w:r>
    </w:p>
    <w:p w14:paraId="40F4FD1D" w14:textId="533CAFEE" w:rsidR="001F2FAD" w:rsidRDefault="00835663" w:rsidP="001F2FAD">
      <w:pPr>
        <w:pBdr>
          <w:bottom w:val="single" w:sz="12" w:space="1" w:color="auto"/>
        </w:pBdr>
        <w:spacing w:after="160" w:line="259" w:lineRule="auto"/>
        <w:jc w:val="center"/>
        <w:rPr>
          <w:rFonts w:ascii="Avenir Next LT Pro" w:hAnsi="Avenir Next LT Pro" w:cstheme="minorBidi"/>
          <w:sz w:val="24"/>
          <w:szCs w:val="24"/>
        </w:rPr>
      </w:pPr>
      <w:r>
        <w:rPr>
          <w:rFonts w:ascii="Avenir Next LT Pro" w:hAnsi="Avenir Next LT Pro" w:cstheme="minorBidi"/>
          <w:sz w:val="24"/>
          <w:szCs w:val="24"/>
        </w:rPr>
        <w:t>Tu</w:t>
      </w:r>
      <w:r w:rsidR="00203309">
        <w:rPr>
          <w:rFonts w:ascii="Avenir Next LT Pro" w:hAnsi="Avenir Next LT Pro" w:cstheme="minorBidi"/>
          <w:sz w:val="24"/>
          <w:szCs w:val="24"/>
        </w:rPr>
        <w:t>esday</w:t>
      </w:r>
      <w:r w:rsidR="00444AD9">
        <w:rPr>
          <w:rFonts w:ascii="Avenir Next LT Pro" w:hAnsi="Avenir Next LT Pro" w:cstheme="minorBidi"/>
          <w:sz w:val="24"/>
          <w:szCs w:val="24"/>
        </w:rPr>
        <w:t>,</w:t>
      </w:r>
      <w:r w:rsidR="00203309">
        <w:rPr>
          <w:rFonts w:ascii="Avenir Next LT Pro" w:hAnsi="Avenir Next LT Pro" w:cstheme="minorBidi"/>
          <w:sz w:val="24"/>
          <w:szCs w:val="24"/>
        </w:rPr>
        <w:t xml:space="preserve"> </w:t>
      </w:r>
      <w:r>
        <w:rPr>
          <w:rFonts w:ascii="Avenir Next LT Pro" w:hAnsi="Avenir Next LT Pro" w:cstheme="minorBidi"/>
          <w:sz w:val="24"/>
          <w:szCs w:val="24"/>
        </w:rPr>
        <w:t>Jan</w:t>
      </w:r>
      <w:r w:rsidR="00203309">
        <w:rPr>
          <w:rFonts w:ascii="Avenir Next LT Pro" w:hAnsi="Avenir Next LT Pro" w:cstheme="minorBidi"/>
          <w:sz w:val="24"/>
          <w:szCs w:val="24"/>
        </w:rPr>
        <w:t xml:space="preserve">. </w:t>
      </w:r>
      <w:r w:rsidR="00050C50">
        <w:rPr>
          <w:rFonts w:ascii="Avenir Next LT Pro" w:hAnsi="Avenir Next LT Pro" w:cstheme="minorBidi"/>
          <w:sz w:val="24"/>
          <w:szCs w:val="24"/>
        </w:rPr>
        <w:t>1</w:t>
      </w:r>
      <w:r>
        <w:rPr>
          <w:rFonts w:ascii="Avenir Next LT Pro" w:hAnsi="Avenir Next LT Pro" w:cstheme="minorBidi"/>
          <w:sz w:val="24"/>
          <w:szCs w:val="24"/>
        </w:rPr>
        <w:t>6</w:t>
      </w:r>
      <w:r w:rsidR="001F2FAD" w:rsidRPr="001F2FAD">
        <w:rPr>
          <w:rFonts w:ascii="Avenir Next LT Pro" w:hAnsi="Avenir Next LT Pro" w:cstheme="minorBidi"/>
          <w:sz w:val="24"/>
          <w:szCs w:val="24"/>
        </w:rPr>
        <w:t>, 202</w:t>
      </w:r>
      <w:r>
        <w:rPr>
          <w:rFonts w:ascii="Avenir Next LT Pro" w:hAnsi="Avenir Next LT Pro" w:cstheme="minorBidi"/>
          <w:sz w:val="24"/>
          <w:szCs w:val="24"/>
        </w:rPr>
        <w:t>4</w:t>
      </w:r>
      <w:r w:rsidR="001F2FAD" w:rsidRPr="001F2FAD">
        <w:rPr>
          <w:rFonts w:ascii="Avenir Next LT Pro" w:hAnsi="Avenir Next LT Pro" w:cstheme="minorBidi"/>
          <w:sz w:val="24"/>
          <w:szCs w:val="24"/>
        </w:rPr>
        <w:t xml:space="preserve">, at </w:t>
      </w:r>
      <w:r>
        <w:rPr>
          <w:rFonts w:ascii="Avenir Next LT Pro" w:hAnsi="Avenir Next LT Pro" w:cstheme="minorBidi"/>
          <w:sz w:val="24"/>
          <w:szCs w:val="24"/>
        </w:rPr>
        <w:t>10</w:t>
      </w:r>
      <w:r w:rsidR="001F2FAD" w:rsidRPr="001F2FAD">
        <w:rPr>
          <w:rFonts w:ascii="Avenir Next LT Pro" w:hAnsi="Avenir Next LT Pro" w:cstheme="minorBidi"/>
          <w:sz w:val="24"/>
          <w:szCs w:val="24"/>
        </w:rPr>
        <w:t>:</w:t>
      </w:r>
      <w:r>
        <w:rPr>
          <w:rFonts w:ascii="Avenir Next LT Pro" w:hAnsi="Avenir Next LT Pro" w:cstheme="minorBidi"/>
          <w:sz w:val="24"/>
          <w:szCs w:val="24"/>
        </w:rPr>
        <w:t>0</w:t>
      </w:r>
      <w:r w:rsidR="001F2FAD" w:rsidRPr="001F2FAD">
        <w:rPr>
          <w:rFonts w:ascii="Avenir Next LT Pro" w:hAnsi="Avenir Next LT Pro" w:cstheme="minorBidi"/>
          <w:sz w:val="24"/>
          <w:szCs w:val="24"/>
        </w:rPr>
        <w:t xml:space="preserve">0 </w:t>
      </w:r>
      <w:r w:rsidR="00926100">
        <w:rPr>
          <w:rFonts w:ascii="Avenir Next LT Pro" w:hAnsi="Avenir Next LT Pro" w:cstheme="minorBidi"/>
          <w:sz w:val="24"/>
          <w:szCs w:val="24"/>
        </w:rPr>
        <w:t>a</w:t>
      </w:r>
      <w:r w:rsidR="001F2FAD" w:rsidRPr="001F2FAD">
        <w:rPr>
          <w:rFonts w:ascii="Avenir Next LT Pro" w:hAnsi="Avenir Next LT Pro" w:cstheme="minorBidi"/>
          <w:sz w:val="24"/>
          <w:szCs w:val="24"/>
        </w:rPr>
        <w:t xml:space="preserve">.m. </w:t>
      </w:r>
    </w:p>
    <w:p w14:paraId="4942DAC1" w14:textId="77777777" w:rsidR="001F2FAD" w:rsidRPr="001F2FAD" w:rsidRDefault="001F2FAD" w:rsidP="001F2FAD">
      <w:pPr>
        <w:pBdr>
          <w:bottom w:val="single" w:sz="12" w:space="1" w:color="auto"/>
        </w:pBdr>
        <w:spacing w:after="160" w:line="259" w:lineRule="auto"/>
        <w:jc w:val="center"/>
        <w:rPr>
          <w:rFonts w:ascii="Avenir Next LT Pro" w:hAnsi="Avenir Next LT Pro" w:cstheme="minorBidi"/>
          <w:sz w:val="24"/>
          <w:szCs w:val="24"/>
        </w:rPr>
      </w:pPr>
    </w:p>
    <w:p w14:paraId="550571B4" w14:textId="2957BB12" w:rsidR="001F2FAD" w:rsidRPr="000E5EDB" w:rsidRDefault="000E5EDB" w:rsidP="052C63AA">
      <w:pPr>
        <w:jc w:val="both"/>
        <w:rPr>
          <w:rFonts w:ascii="Avenir Next LT Pro" w:hAnsi="Avenir Next LT Pro"/>
          <w:b/>
          <w:bCs/>
          <w:i/>
          <w:iCs/>
          <w:sz w:val="24"/>
          <w:szCs w:val="24"/>
        </w:rPr>
      </w:pPr>
      <w:r w:rsidRPr="000E5EDB">
        <w:rPr>
          <w:rFonts w:ascii="Avenir Next LT Pro" w:hAnsi="Avenir Next LT Pro"/>
          <w:b/>
          <w:bCs/>
          <w:i/>
          <w:iCs/>
          <w:sz w:val="24"/>
          <w:szCs w:val="24"/>
        </w:rPr>
        <w:t>Introduction</w:t>
      </w:r>
    </w:p>
    <w:p w14:paraId="441CE465" w14:textId="77777777" w:rsidR="000E5EDB" w:rsidRDefault="000E5EDB" w:rsidP="052C63AA">
      <w:pPr>
        <w:jc w:val="both"/>
        <w:rPr>
          <w:rFonts w:ascii="Avenir Next LT Pro" w:hAnsi="Avenir Next LT Pro"/>
          <w:sz w:val="24"/>
          <w:szCs w:val="24"/>
        </w:rPr>
      </w:pPr>
    </w:p>
    <w:p w14:paraId="0A1E5DAC" w14:textId="6DA12154" w:rsidR="00B96161" w:rsidRDefault="008C5390" w:rsidP="052C63AA">
      <w:pPr>
        <w:jc w:val="both"/>
        <w:rPr>
          <w:rFonts w:ascii="Avenir Next LT Pro" w:hAnsi="Avenir Next LT Pro"/>
          <w:sz w:val="24"/>
          <w:szCs w:val="24"/>
        </w:rPr>
      </w:pPr>
      <w:r w:rsidRPr="052C63AA">
        <w:rPr>
          <w:rFonts w:ascii="Avenir Next LT Pro" w:hAnsi="Avenir Next LT Pro"/>
          <w:sz w:val="24"/>
          <w:szCs w:val="24"/>
        </w:rPr>
        <w:t xml:space="preserve">Chair </w:t>
      </w:r>
      <w:r w:rsidR="007727EC">
        <w:rPr>
          <w:rFonts w:ascii="Avenir Next LT Pro" w:hAnsi="Avenir Next LT Pro"/>
          <w:sz w:val="24"/>
          <w:szCs w:val="24"/>
        </w:rPr>
        <w:t>Kelly</w:t>
      </w:r>
      <w:r w:rsidR="00F70B9D">
        <w:rPr>
          <w:rFonts w:ascii="Avenir Next LT Pro" w:hAnsi="Avenir Next LT Pro"/>
          <w:sz w:val="24"/>
          <w:szCs w:val="24"/>
        </w:rPr>
        <w:t xml:space="preserve">, </w:t>
      </w:r>
      <w:r w:rsidRPr="052C63AA">
        <w:rPr>
          <w:rFonts w:ascii="Avenir Next LT Pro" w:hAnsi="Avenir Next LT Pro"/>
          <w:sz w:val="24"/>
          <w:szCs w:val="24"/>
        </w:rPr>
        <w:t xml:space="preserve">Vice Chair </w:t>
      </w:r>
      <w:r w:rsidR="007727EC">
        <w:rPr>
          <w:rFonts w:ascii="Avenir Next LT Pro" w:hAnsi="Avenir Next LT Pro"/>
          <w:sz w:val="24"/>
          <w:szCs w:val="24"/>
        </w:rPr>
        <w:t>Hausman</w:t>
      </w:r>
      <w:r w:rsidRPr="052C63AA">
        <w:rPr>
          <w:rFonts w:ascii="Avenir Next LT Pro" w:hAnsi="Avenir Next LT Pro"/>
          <w:sz w:val="24"/>
          <w:szCs w:val="24"/>
        </w:rPr>
        <w:t>, and Committee Members</w:t>
      </w:r>
      <w:r w:rsidR="00B96161">
        <w:rPr>
          <w:rFonts w:ascii="Avenir Next LT Pro" w:hAnsi="Avenir Next LT Pro"/>
          <w:sz w:val="24"/>
          <w:szCs w:val="24"/>
        </w:rPr>
        <w:t>:</w:t>
      </w:r>
    </w:p>
    <w:p w14:paraId="01912522" w14:textId="77777777" w:rsidR="00100E51" w:rsidRDefault="008C5390" w:rsidP="052C63AA">
      <w:pPr>
        <w:jc w:val="both"/>
        <w:rPr>
          <w:rFonts w:ascii="Avenir Next LT Pro" w:hAnsi="Avenir Next LT Pro"/>
          <w:sz w:val="24"/>
          <w:szCs w:val="24"/>
        </w:rPr>
      </w:pPr>
      <w:r>
        <w:br/>
      </w:r>
      <w:r w:rsidR="00875B06" w:rsidRPr="052C63AA">
        <w:rPr>
          <w:rFonts w:ascii="Avenir Next LT Pro" w:hAnsi="Avenir Next LT Pro"/>
          <w:sz w:val="24"/>
          <w:szCs w:val="24"/>
        </w:rPr>
        <w:t xml:space="preserve">My name is </w:t>
      </w:r>
      <w:r w:rsidR="00050C50">
        <w:rPr>
          <w:rFonts w:ascii="Avenir Next LT Pro" w:hAnsi="Avenir Next LT Pro"/>
          <w:sz w:val="24"/>
          <w:szCs w:val="24"/>
        </w:rPr>
        <w:t>Kendall Seal</w:t>
      </w:r>
      <w:r w:rsidR="005C364F">
        <w:rPr>
          <w:rFonts w:ascii="Avenir Next LT Pro" w:hAnsi="Avenir Next LT Pro"/>
          <w:sz w:val="24"/>
          <w:szCs w:val="24"/>
        </w:rPr>
        <w:t xml:space="preserve">, </w:t>
      </w:r>
      <w:r w:rsidR="008F2D21">
        <w:rPr>
          <w:rFonts w:ascii="Avenir Next LT Pro" w:hAnsi="Avenir Next LT Pro"/>
          <w:sz w:val="24"/>
          <w:szCs w:val="24"/>
        </w:rPr>
        <w:t xml:space="preserve">Vice President of Policy at the </w:t>
      </w:r>
      <w:r w:rsidR="00875B06" w:rsidRPr="052C63AA">
        <w:rPr>
          <w:rFonts w:ascii="Avenir Next LT Pro" w:hAnsi="Avenir Next LT Pro"/>
          <w:sz w:val="24"/>
          <w:szCs w:val="24"/>
        </w:rPr>
        <w:t>Center for the Rights of Abused Children</w:t>
      </w:r>
      <w:r w:rsidR="00ED0AEC">
        <w:rPr>
          <w:rFonts w:ascii="Avenir Next LT Pro" w:hAnsi="Avenir Next LT Pro"/>
          <w:sz w:val="24"/>
          <w:szCs w:val="24"/>
        </w:rPr>
        <w:t>.</w:t>
      </w:r>
      <w:r w:rsidR="00425D1C">
        <w:rPr>
          <w:rFonts w:ascii="Avenir Next LT Pro" w:hAnsi="Avenir Next LT Pro"/>
          <w:sz w:val="24"/>
          <w:szCs w:val="24"/>
        </w:rPr>
        <w:t xml:space="preserve"> </w:t>
      </w:r>
    </w:p>
    <w:p w14:paraId="145413F3" w14:textId="77777777" w:rsidR="00100E51" w:rsidRDefault="00100E51" w:rsidP="052C63AA">
      <w:pPr>
        <w:jc w:val="both"/>
        <w:rPr>
          <w:rFonts w:ascii="Avenir Next LT Pro" w:hAnsi="Avenir Next LT Pro"/>
          <w:sz w:val="24"/>
          <w:szCs w:val="24"/>
        </w:rPr>
      </w:pPr>
    </w:p>
    <w:p w14:paraId="2012129A" w14:textId="384A455F" w:rsidR="00875B06" w:rsidRPr="001F2FAD" w:rsidRDefault="00425D1C" w:rsidP="052C63AA">
      <w:pPr>
        <w:jc w:val="both"/>
        <w:rPr>
          <w:rFonts w:ascii="Avenir Next LT Pro" w:hAnsi="Avenir Next LT Pro"/>
          <w:sz w:val="24"/>
          <w:szCs w:val="24"/>
        </w:rPr>
      </w:pPr>
      <w:r>
        <w:rPr>
          <w:rFonts w:ascii="Avenir Next LT Pro" w:hAnsi="Avenir Next LT Pro"/>
          <w:sz w:val="24"/>
          <w:szCs w:val="24"/>
        </w:rPr>
        <w:t>The lives of children are th</w:t>
      </w:r>
      <w:r w:rsidR="00222CC4">
        <w:rPr>
          <w:rFonts w:ascii="Avenir Next LT Pro" w:hAnsi="Avenir Next LT Pro"/>
          <w:sz w:val="24"/>
          <w:szCs w:val="24"/>
        </w:rPr>
        <w:t>ose</w:t>
      </w:r>
      <w:r>
        <w:rPr>
          <w:rFonts w:ascii="Avenir Next LT Pro" w:hAnsi="Avenir Next LT Pro"/>
          <w:sz w:val="24"/>
          <w:szCs w:val="24"/>
        </w:rPr>
        <w:t xml:space="preserve"> most impacted by </w:t>
      </w:r>
      <w:r w:rsidR="00222CC4">
        <w:rPr>
          <w:rFonts w:ascii="Avenir Next LT Pro" w:hAnsi="Avenir Next LT Pro"/>
          <w:sz w:val="24"/>
          <w:szCs w:val="24"/>
        </w:rPr>
        <w:t>the child protection system</w:t>
      </w:r>
      <w:r>
        <w:rPr>
          <w:rFonts w:ascii="Avenir Next LT Pro" w:hAnsi="Avenir Next LT Pro"/>
          <w:sz w:val="24"/>
          <w:szCs w:val="24"/>
        </w:rPr>
        <w:t xml:space="preserve">. Consequently, </w:t>
      </w:r>
      <w:r w:rsidR="00B41675">
        <w:rPr>
          <w:rFonts w:ascii="Avenir Next LT Pro" w:hAnsi="Avenir Next LT Pro"/>
          <w:sz w:val="24"/>
          <w:szCs w:val="24"/>
        </w:rPr>
        <w:t>children</w:t>
      </w:r>
      <w:r w:rsidR="007849B8">
        <w:rPr>
          <w:rFonts w:ascii="Avenir Next LT Pro" w:hAnsi="Avenir Next LT Pro"/>
          <w:sz w:val="24"/>
          <w:szCs w:val="24"/>
        </w:rPr>
        <w:t xml:space="preserve"> should </w:t>
      </w:r>
      <w:r w:rsidR="00344464">
        <w:rPr>
          <w:rFonts w:ascii="Avenir Next LT Pro" w:hAnsi="Avenir Next LT Pro"/>
          <w:sz w:val="24"/>
          <w:szCs w:val="24"/>
        </w:rPr>
        <w:t xml:space="preserve">have a meaningful </w:t>
      </w:r>
      <w:r w:rsidR="007849B8">
        <w:rPr>
          <w:rFonts w:ascii="Avenir Next LT Pro" w:hAnsi="Avenir Next LT Pro"/>
          <w:sz w:val="24"/>
          <w:szCs w:val="24"/>
        </w:rPr>
        <w:t>opportunity to be heard</w:t>
      </w:r>
      <w:r w:rsidR="002B5A44">
        <w:rPr>
          <w:rFonts w:ascii="Avenir Next LT Pro" w:hAnsi="Avenir Next LT Pro"/>
          <w:sz w:val="24"/>
          <w:szCs w:val="24"/>
        </w:rPr>
        <w:t>,</w:t>
      </w:r>
      <w:r w:rsidR="00EF09F5">
        <w:rPr>
          <w:rFonts w:ascii="Avenir Next LT Pro" w:hAnsi="Avenir Next LT Pro"/>
          <w:sz w:val="24"/>
          <w:szCs w:val="24"/>
        </w:rPr>
        <w:t xml:space="preserve"> </w:t>
      </w:r>
      <w:r w:rsidR="00991BA0">
        <w:rPr>
          <w:rFonts w:ascii="Avenir Next LT Pro" w:hAnsi="Avenir Next LT Pro"/>
          <w:sz w:val="24"/>
          <w:szCs w:val="24"/>
        </w:rPr>
        <w:t xml:space="preserve">have their position </w:t>
      </w:r>
      <w:r w:rsidR="00EF09F5">
        <w:rPr>
          <w:rFonts w:ascii="Avenir Next LT Pro" w:hAnsi="Avenir Next LT Pro"/>
          <w:sz w:val="24"/>
          <w:szCs w:val="24"/>
        </w:rPr>
        <w:t>represented</w:t>
      </w:r>
      <w:r w:rsidR="00991BA0">
        <w:rPr>
          <w:rFonts w:ascii="Avenir Next LT Pro" w:hAnsi="Avenir Next LT Pro"/>
          <w:sz w:val="24"/>
          <w:szCs w:val="24"/>
        </w:rPr>
        <w:t>,</w:t>
      </w:r>
      <w:r w:rsidR="00EF09F5">
        <w:rPr>
          <w:rFonts w:ascii="Avenir Next LT Pro" w:hAnsi="Avenir Next LT Pro"/>
          <w:sz w:val="24"/>
          <w:szCs w:val="24"/>
        </w:rPr>
        <w:t xml:space="preserve"> </w:t>
      </w:r>
      <w:r w:rsidR="007727EC">
        <w:rPr>
          <w:rFonts w:ascii="Avenir Next LT Pro" w:hAnsi="Avenir Next LT Pro"/>
          <w:sz w:val="24"/>
          <w:szCs w:val="24"/>
        </w:rPr>
        <w:t xml:space="preserve">and </w:t>
      </w:r>
      <w:r w:rsidR="007A1968">
        <w:rPr>
          <w:rFonts w:ascii="Avenir Next LT Pro" w:hAnsi="Avenir Next LT Pro"/>
          <w:sz w:val="24"/>
          <w:szCs w:val="24"/>
        </w:rPr>
        <w:t xml:space="preserve">have their </w:t>
      </w:r>
      <w:r w:rsidR="007727EC">
        <w:rPr>
          <w:rFonts w:ascii="Avenir Next LT Pro" w:hAnsi="Avenir Next LT Pro"/>
          <w:sz w:val="24"/>
          <w:szCs w:val="24"/>
        </w:rPr>
        <w:t>rights</w:t>
      </w:r>
      <w:r w:rsidR="00CE6A09">
        <w:rPr>
          <w:rFonts w:ascii="Avenir Next LT Pro" w:hAnsi="Avenir Next LT Pro"/>
          <w:sz w:val="24"/>
          <w:szCs w:val="24"/>
        </w:rPr>
        <w:t xml:space="preserve"> and liberties</w:t>
      </w:r>
      <w:r w:rsidR="007A1968">
        <w:rPr>
          <w:rFonts w:ascii="Avenir Next LT Pro" w:hAnsi="Avenir Next LT Pro"/>
          <w:sz w:val="24"/>
          <w:szCs w:val="24"/>
        </w:rPr>
        <w:t xml:space="preserve"> protected</w:t>
      </w:r>
      <w:r w:rsidR="00CE6A09">
        <w:rPr>
          <w:rFonts w:ascii="Avenir Next LT Pro" w:hAnsi="Avenir Next LT Pro"/>
          <w:sz w:val="24"/>
          <w:szCs w:val="24"/>
        </w:rPr>
        <w:t xml:space="preserve">. </w:t>
      </w:r>
      <w:r w:rsidR="007A1968">
        <w:rPr>
          <w:rFonts w:ascii="Avenir Next LT Pro" w:hAnsi="Avenir Next LT Pro"/>
          <w:sz w:val="24"/>
          <w:szCs w:val="24"/>
        </w:rPr>
        <w:t xml:space="preserve">To accomplish these goals, </w:t>
      </w:r>
      <w:r w:rsidR="00B03700">
        <w:rPr>
          <w:rFonts w:ascii="Avenir Next LT Pro" w:hAnsi="Avenir Next LT Pro"/>
          <w:sz w:val="24"/>
          <w:szCs w:val="24"/>
        </w:rPr>
        <w:t xml:space="preserve">The Center </w:t>
      </w:r>
      <w:r w:rsidR="007727EC">
        <w:rPr>
          <w:rFonts w:ascii="Avenir Next LT Pro" w:hAnsi="Avenir Next LT Pro"/>
          <w:sz w:val="24"/>
          <w:szCs w:val="24"/>
        </w:rPr>
        <w:t>strongly supports passing HB 2033</w:t>
      </w:r>
      <w:r w:rsidR="005C2129">
        <w:rPr>
          <w:rFonts w:ascii="Avenir Next LT Pro" w:hAnsi="Avenir Next LT Pro"/>
          <w:sz w:val="24"/>
          <w:szCs w:val="24"/>
        </w:rPr>
        <w:t xml:space="preserve"> </w:t>
      </w:r>
      <w:r w:rsidR="00015162">
        <w:rPr>
          <w:rFonts w:ascii="Avenir Next LT Pro" w:hAnsi="Avenir Next LT Pro"/>
          <w:sz w:val="24"/>
          <w:szCs w:val="24"/>
        </w:rPr>
        <w:t xml:space="preserve">to </w:t>
      </w:r>
      <w:r w:rsidR="00252765">
        <w:rPr>
          <w:rFonts w:ascii="Avenir Next LT Pro" w:hAnsi="Avenir Next LT Pro"/>
          <w:sz w:val="24"/>
          <w:szCs w:val="24"/>
        </w:rPr>
        <w:t xml:space="preserve">affording every child in care </w:t>
      </w:r>
      <w:r w:rsidR="00015162">
        <w:rPr>
          <w:rFonts w:ascii="Avenir Next LT Pro" w:hAnsi="Avenir Next LT Pro"/>
          <w:sz w:val="24"/>
          <w:szCs w:val="24"/>
        </w:rPr>
        <w:t>a client-directed</w:t>
      </w:r>
      <w:r w:rsidR="00251EB9">
        <w:rPr>
          <w:rFonts w:ascii="Avenir Next LT Pro" w:hAnsi="Avenir Next LT Pro"/>
          <w:sz w:val="24"/>
          <w:szCs w:val="24"/>
        </w:rPr>
        <w:t xml:space="preserve"> attorney. </w:t>
      </w:r>
    </w:p>
    <w:p w14:paraId="6FF1197D" w14:textId="0F6BD676" w:rsidR="00875B06" w:rsidRPr="001F2FAD" w:rsidRDefault="00875B06" w:rsidP="052C63AA">
      <w:pPr>
        <w:jc w:val="both"/>
        <w:rPr>
          <w:rFonts w:ascii="Avenir Next LT Pro" w:hAnsi="Avenir Next LT Pro"/>
          <w:sz w:val="24"/>
          <w:szCs w:val="24"/>
        </w:rPr>
      </w:pPr>
    </w:p>
    <w:p w14:paraId="391FCCB9" w14:textId="31FE3609" w:rsidR="004E1281" w:rsidRDefault="004E1281" w:rsidP="052C63AA">
      <w:pPr>
        <w:jc w:val="both"/>
        <w:rPr>
          <w:rFonts w:ascii="Avenir Next LT Pro" w:hAnsi="Avenir Next LT Pro"/>
          <w:b/>
          <w:bCs/>
          <w:i/>
          <w:iCs/>
          <w:sz w:val="24"/>
          <w:szCs w:val="24"/>
        </w:rPr>
      </w:pPr>
      <w:r>
        <w:rPr>
          <w:rFonts w:ascii="Avenir Next LT Pro" w:hAnsi="Avenir Next LT Pro"/>
          <w:b/>
          <w:bCs/>
          <w:i/>
          <w:iCs/>
          <w:sz w:val="24"/>
          <w:szCs w:val="24"/>
        </w:rPr>
        <w:t>Argument</w:t>
      </w:r>
    </w:p>
    <w:p w14:paraId="421CBE09" w14:textId="77777777" w:rsidR="004E1281" w:rsidRDefault="004E1281" w:rsidP="052C63AA">
      <w:pPr>
        <w:jc w:val="both"/>
        <w:rPr>
          <w:rFonts w:ascii="Avenir Next LT Pro" w:hAnsi="Avenir Next LT Pro"/>
          <w:b/>
          <w:bCs/>
          <w:i/>
          <w:iCs/>
          <w:sz w:val="24"/>
          <w:szCs w:val="24"/>
        </w:rPr>
      </w:pPr>
    </w:p>
    <w:p w14:paraId="68221A63" w14:textId="6AA97E5D" w:rsidR="00BA74C6" w:rsidRDefault="00BA74C6" w:rsidP="00BA74C6">
      <w:pPr>
        <w:jc w:val="both"/>
        <w:rPr>
          <w:rFonts w:ascii="Avenir Next LT Pro" w:hAnsi="Avenir Next LT Pro"/>
          <w:sz w:val="24"/>
          <w:szCs w:val="24"/>
        </w:rPr>
      </w:pPr>
      <w:r w:rsidRPr="052C63AA">
        <w:rPr>
          <w:rFonts w:ascii="Avenir Next LT Pro" w:hAnsi="Avenir Next LT Pro"/>
          <w:sz w:val="24"/>
          <w:szCs w:val="24"/>
        </w:rPr>
        <w:t xml:space="preserve">The fundamental life and liberty interests </w:t>
      </w:r>
      <w:r w:rsidR="0043299C">
        <w:rPr>
          <w:rFonts w:ascii="Avenir Next LT Pro" w:hAnsi="Avenir Next LT Pro"/>
          <w:sz w:val="24"/>
          <w:szCs w:val="24"/>
        </w:rPr>
        <w:t xml:space="preserve">of </w:t>
      </w:r>
      <w:r w:rsidR="00E81A3F">
        <w:rPr>
          <w:rFonts w:ascii="Avenir Next LT Pro" w:hAnsi="Avenir Next LT Pro"/>
          <w:sz w:val="24"/>
          <w:szCs w:val="24"/>
        </w:rPr>
        <w:t xml:space="preserve">children </w:t>
      </w:r>
      <w:r w:rsidRPr="052C63AA">
        <w:rPr>
          <w:rFonts w:ascii="Avenir Next LT Pro" w:hAnsi="Avenir Next LT Pro"/>
          <w:sz w:val="24"/>
          <w:szCs w:val="24"/>
        </w:rPr>
        <w:t>are at stake</w:t>
      </w:r>
      <w:r w:rsidR="00E81A3F">
        <w:rPr>
          <w:rFonts w:ascii="Avenir Next LT Pro" w:hAnsi="Avenir Next LT Pro"/>
          <w:sz w:val="24"/>
          <w:szCs w:val="24"/>
        </w:rPr>
        <w:t xml:space="preserve"> in juvenile court</w:t>
      </w:r>
      <w:r w:rsidRPr="052C63AA">
        <w:rPr>
          <w:rFonts w:ascii="Avenir Next LT Pro" w:hAnsi="Avenir Next LT Pro"/>
          <w:sz w:val="24"/>
          <w:szCs w:val="24"/>
        </w:rPr>
        <w:t xml:space="preserve">. </w:t>
      </w:r>
      <w:r w:rsidR="00E81A3F">
        <w:rPr>
          <w:rFonts w:ascii="Avenir Next LT Pro" w:hAnsi="Avenir Next LT Pro"/>
          <w:sz w:val="24"/>
          <w:szCs w:val="24"/>
        </w:rPr>
        <w:t>C</w:t>
      </w:r>
      <w:r w:rsidRPr="052C63AA">
        <w:rPr>
          <w:rFonts w:ascii="Avenir Next LT Pro" w:hAnsi="Avenir Next LT Pro"/>
          <w:sz w:val="24"/>
          <w:szCs w:val="24"/>
        </w:rPr>
        <w:t xml:space="preserve">ourt proceedings </w:t>
      </w:r>
      <w:r w:rsidR="00E81A3F">
        <w:rPr>
          <w:rFonts w:ascii="Avenir Next LT Pro" w:hAnsi="Avenir Next LT Pro"/>
          <w:sz w:val="24"/>
          <w:szCs w:val="24"/>
        </w:rPr>
        <w:t xml:space="preserve">involving abused and neglected children </w:t>
      </w:r>
      <w:r w:rsidRPr="052C63AA">
        <w:rPr>
          <w:rFonts w:ascii="Avenir Next LT Pro" w:hAnsi="Avenir Next LT Pro"/>
          <w:sz w:val="24"/>
          <w:szCs w:val="24"/>
        </w:rPr>
        <w:t>will determine whether a child can go home, whether they will see their siblings, whether they will be adopted or age out.</w:t>
      </w:r>
      <w:r w:rsidR="0091343C">
        <w:rPr>
          <w:rFonts w:ascii="Avenir Next LT Pro" w:hAnsi="Avenir Next LT Pro"/>
          <w:sz w:val="24"/>
          <w:szCs w:val="24"/>
        </w:rPr>
        <w:t xml:space="preserve"> These decisions have life-long consequences</w:t>
      </w:r>
      <w:r w:rsidR="00661AAF">
        <w:rPr>
          <w:rFonts w:ascii="Avenir Next LT Pro" w:hAnsi="Avenir Next LT Pro"/>
          <w:sz w:val="24"/>
          <w:szCs w:val="24"/>
        </w:rPr>
        <w:t>.</w:t>
      </w:r>
      <w:r w:rsidRPr="052C63AA">
        <w:rPr>
          <w:rFonts w:ascii="Avenir Next LT Pro" w:hAnsi="Avenir Next LT Pro"/>
          <w:sz w:val="24"/>
          <w:szCs w:val="24"/>
        </w:rPr>
        <w:t xml:space="preserve"> </w:t>
      </w:r>
    </w:p>
    <w:p w14:paraId="78A23587" w14:textId="77777777" w:rsidR="00003EB0" w:rsidRDefault="00003EB0" w:rsidP="00BA74C6">
      <w:pPr>
        <w:jc w:val="both"/>
        <w:rPr>
          <w:rFonts w:ascii="Avenir Next LT Pro" w:hAnsi="Avenir Next LT Pro"/>
          <w:sz w:val="24"/>
          <w:szCs w:val="24"/>
        </w:rPr>
      </w:pPr>
    </w:p>
    <w:p w14:paraId="6C15844A" w14:textId="741E95BB" w:rsidR="00661AAF" w:rsidRDefault="00816AF8" w:rsidP="00BA74C6">
      <w:pPr>
        <w:jc w:val="both"/>
        <w:rPr>
          <w:rFonts w:ascii="Avenir Next LT Pro" w:hAnsi="Avenir Next LT Pro"/>
          <w:sz w:val="24"/>
          <w:szCs w:val="24"/>
        </w:rPr>
      </w:pPr>
      <w:r>
        <w:rPr>
          <w:rFonts w:ascii="Avenir Next LT Pro" w:hAnsi="Avenir Next LT Pro"/>
          <w:sz w:val="24"/>
          <w:szCs w:val="24"/>
        </w:rPr>
        <w:t xml:space="preserve">We often hear </w:t>
      </w:r>
      <w:r w:rsidR="000C3C81">
        <w:rPr>
          <w:rFonts w:ascii="Avenir Next LT Pro" w:hAnsi="Avenir Next LT Pro"/>
          <w:sz w:val="24"/>
          <w:szCs w:val="24"/>
        </w:rPr>
        <w:t xml:space="preserve">youth who have, or are, experiencing foster care </w:t>
      </w:r>
      <w:r w:rsidR="00892EDB">
        <w:rPr>
          <w:rFonts w:ascii="Avenir Next LT Pro" w:hAnsi="Avenir Next LT Pro"/>
          <w:sz w:val="24"/>
          <w:szCs w:val="24"/>
        </w:rPr>
        <w:t xml:space="preserve">lamenting the lack of voice. </w:t>
      </w:r>
      <w:r w:rsidR="00661AAF">
        <w:rPr>
          <w:rFonts w:ascii="Avenir Next LT Pro" w:hAnsi="Avenir Next LT Pro"/>
          <w:sz w:val="24"/>
          <w:szCs w:val="24"/>
        </w:rPr>
        <w:t>D</w:t>
      </w:r>
      <w:r w:rsidR="00D27357">
        <w:rPr>
          <w:rFonts w:ascii="Avenir Next LT Pro" w:hAnsi="Avenir Next LT Pro"/>
          <w:sz w:val="24"/>
          <w:szCs w:val="24"/>
        </w:rPr>
        <w:t xml:space="preserve">ecisions are made about and for children, often with little consideration for the wishes of the child. They want </w:t>
      </w:r>
      <w:r w:rsidR="00C66910">
        <w:rPr>
          <w:rFonts w:ascii="Avenir Next LT Pro" w:hAnsi="Avenir Next LT Pro"/>
          <w:sz w:val="24"/>
          <w:szCs w:val="24"/>
        </w:rPr>
        <w:t xml:space="preserve">a voice. They want to be heard. </w:t>
      </w:r>
    </w:p>
    <w:p w14:paraId="3E48E2B5" w14:textId="77777777" w:rsidR="00661AAF" w:rsidRDefault="00661AAF" w:rsidP="00BA74C6">
      <w:pPr>
        <w:jc w:val="both"/>
        <w:rPr>
          <w:rFonts w:ascii="Avenir Next LT Pro" w:hAnsi="Avenir Next LT Pro"/>
          <w:sz w:val="24"/>
          <w:szCs w:val="24"/>
        </w:rPr>
      </w:pPr>
    </w:p>
    <w:p w14:paraId="4FD0B726" w14:textId="1ECAB09A" w:rsidR="006B4754" w:rsidRDefault="004A60B6" w:rsidP="00332D8F">
      <w:pPr>
        <w:jc w:val="both"/>
        <w:rPr>
          <w:rFonts w:ascii="Avenir Next LT Pro" w:hAnsi="Avenir Next LT Pro"/>
          <w:sz w:val="24"/>
          <w:szCs w:val="24"/>
        </w:rPr>
      </w:pPr>
      <w:r>
        <w:rPr>
          <w:rFonts w:ascii="Avenir Next LT Pro" w:hAnsi="Avenir Next LT Pro"/>
          <w:sz w:val="24"/>
          <w:szCs w:val="24"/>
        </w:rPr>
        <w:t xml:space="preserve">Missouri can take a significant step toward </w:t>
      </w:r>
      <w:r w:rsidR="003A3B03">
        <w:rPr>
          <w:rFonts w:ascii="Avenir Next LT Pro" w:hAnsi="Avenir Next LT Pro"/>
          <w:sz w:val="24"/>
          <w:szCs w:val="24"/>
        </w:rPr>
        <w:t xml:space="preserve">affording children the voice they deserve by appointing client-directed attorneys to represent the child. These won’t be best-interest </w:t>
      </w:r>
      <w:r w:rsidR="00C54692">
        <w:rPr>
          <w:rFonts w:ascii="Avenir Next LT Pro" w:hAnsi="Avenir Next LT Pro"/>
          <w:sz w:val="24"/>
          <w:szCs w:val="24"/>
        </w:rPr>
        <w:t xml:space="preserve">attorneys, bound to arrive at an independent determination about what he or </w:t>
      </w:r>
      <w:r w:rsidR="00C54692">
        <w:rPr>
          <w:rFonts w:ascii="Avenir Next LT Pro" w:hAnsi="Avenir Next LT Pro"/>
          <w:sz w:val="24"/>
          <w:szCs w:val="24"/>
        </w:rPr>
        <w:lastRenderedPageBreak/>
        <w:t xml:space="preserve">she believes </w:t>
      </w:r>
      <w:r w:rsidR="009E08F4">
        <w:rPr>
          <w:rFonts w:ascii="Avenir Next LT Pro" w:hAnsi="Avenir Next LT Pro"/>
          <w:sz w:val="24"/>
          <w:szCs w:val="24"/>
        </w:rPr>
        <w:t xml:space="preserve">the child needs – rather, </w:t>
      </w:r>
      <w:r w:rsidR="00696371">
        <w:rPr>
          <w:rFonts w:ascii="Avenir Next LT Pro" w:hAnsi="Avenir Next LT Pro"/>
          <w:sz w:val="24"/>
          <w:szCs w:val="24"/>
        </w:rPr>
        <w:t>client-directed</w:t>
      </w:r>
      <w:r w:rsidR="009E08F4">
        <w:rPr>
          <w:rFonts w:ascii="Avenir Next LT Pro" w:hAnsi="Avenir Next LT Pro"/>
          <w:sz w:val="24"/>
          <w:szCs w:val="24"/>
        </w:rPr>
        <w:t xml:space="preserve"> attorneys would be ethically bound to represent the child’s position and </w:t>
      </w:r>
      <w:r w:rsidR="006B4754">
        <w:rPr>
          <w:rFonts w:ascii="Avenir Next LT Pro" w:hAnsi="Avenir Next LT Pro"/>
          <w:sz w:val="24"/>
          <w:szCs w:val="24"/>
        </w:rPr>
        <w:t xml:space="preserve">zealously advocate for and protect the child’s rights. </w:t>
      </w:r>
      <w:r w:rsidR="00696371">
        <w:rPr>
          <w:rFonts w:ascii="Avenir Next LT Pro" w:hAnsi="Avenir Next LT Pro"/>
          <w:sz w:val="24"/>
          <w:szCs w:val="24"/>
        </w:rPr>
        <w:t xml:space="preserve">Children should have </w:t>
      </w:r>
      <w:r w:rsidR="00D624C1">
        <w:rPr>
          <w:rFonts w:ascii="Avenir Next LT Pro" w:hAnsi="Avenir Next LT Pro"/>
          <w:sz w:val="24"/>
          <w:szCs w:val="24"/>
        </w:rPr>
        <w:t xml:space="preserve">such an advocate </w:t>
      </w:r>
      <w:r w:rsidR="00332D8F" w:rsidRPr="052C63AA">
        <w:rPr>
          <w:rFonts w:ascii="Avenir Next LT Pro" w:hAnsi="Avenir Next LT Pro"/>
          <w:sz w:val="24"/>
          <w:szCs w:val="24"/>
        </w:rPr>
        <w:t>from the moment of state involvement</w:t>
      </w:r>
      <w:r w:rsidR="0093289B">
        <w:rPr>
          <w:rFonts w:ascii="Avenir Next LT Pro" w:hAnsi="Avenir Next LT Pro"/>
          <w:sz w:val="24"/>
          <w:szCs w:val="24"/>
        </w:rPr>
        <w:t>.</w:t>
      </w:r>
      <w:r w:rsidR="00142348">
        <w:rPr>
          <w:rFonts w:ascii="Avenir Next LT Pro" w:hAnsi="Avenir Next LT Pro"/>
          <w:sz w:val="24"/>
          <w:szCs w:val="24"/>
        </w:rPr>
        <w:t xml:space="preserve"> </w:t>
      </w:r>
    </w:p>
    <w:p w14:paraId="7E33A5F4" w14:textId="77777777" w:rsidR="006B4754" w:rsidRDefault="006B4754" w:rsidP="00332D8F">
      <w:pPr>
        <w:jc w:val="both"/>
        <w:rPr>
          <w:rFonts w:ascii="Avenir Next LT Pro" w:hAnsi="Avenir Next LT Pro"/>
          <w:sz w:val="24"/>
          <w:szCs w:val="24"/>
        </w:rPr>
      </w:pPr>
    </w:p>
    <w:p w14:paraId="6D5247ED" w14:textId="3A834A1F" w:rsidR="004E1281" w:rsidRDefault="00D25C39" w:rsidP="00D25C39">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t>The GAL model of representation in Missouri Leads to Confusion</w:t>
      </w:r>
    </w:p>
    <w:p w14:paraId="1ED1AA8D" w14:textId="77777777" w:rsidR="00D25C39" w:rsidRDefault="00D25C39" w:rsidP="00D25C39">
      <w:pPr>
        <w:jc w:val="both"/>
        <w:rPr>
          <w:rFonts w:ascii="Avenir Next LT Pro" w:hAnsi="Avenir Next LT Pro"/>
          <w:i/>
          <w:iCs/>
          <w:sz w:val="24"/>
          <w:szCs w:val="24"/>
        </w:rPr>
      </w:pPr>
    </w:p>
    <w:p w14:paraId="26400FF2" w14:textId="67732AA1" w:rsidR="003575CF" w:rsidRDefault="00D57C3B" w:rsidP="00D25C39">
      <w:pPr>
        <w:jc w:val="both"/>
        <w:rPr>
          <w:rFonts w:ascii="Avenir Next LT Pro" w:hAnsi="Avenir Next LT Pro"/>
          <w:sz w:val="24"/>
          <w:szCs w:val="24"/>
        </w:rPr>
      </w:pPr>
      <w:r>
        <w:rPr>
          <w:rFonts w:ascii="Avenir Next LT Pro" w:hAnsi="Avenir Next LT Pro"/>
          <w:sz w:val="24"/>
          <w:szCs w:val="24"/>
        </w:rPr>
        <w:t xml:space="preserve">While state law </w:t>
      </w:r>
      <w:r w:rsidR="00303BF7">
        <w:rPr>
          <w:rFonts w:ascii="Avenir Next LT Pro" w:hAnsi="Avenir Next LT Pro"/>
          <w:sz w:val="24"/>
          <w:szCs w:val="24"/>
        </w:rPr>
        <w:t xml:space="preserve">may </w:t>
      </w:r>
      <w:r w:rsidR="00856A46">
        <w:rPr>
          <w:rFonts w:ascii="Avenir Next LT Pro" w:hAnsi="Avenir Next LT Pro"/>
          <w:sz w:val="24"/>
          <w:szCs w:val="24"/>
        </w:rPr>
        <w:t xml:space="preserve">seem to </w:t>
      </w:r>
      <w:r>
        <w:rPr>
          <w:rFonts w:ascii="Avenir Next LT Pro" w:hAnsi="Avenir Next LT Pro"/>
          <w:sz w:val="24"/>
          <w:szCs w:val="24"/>
        </w:rPr>
        <w:t>impl</w:t>
      </w:r>
      <w:r w:rsidR="00260706">
        <w:rPr>
          <w:rFonts w:ascii="Avenir Next LT Pro" w:hAnsi="Avenir Next LT Pro"/>
          <w:sz w:val="24"/>
          <w:szCs w:val="24"/>
        </w:rPr>
        <w:t>y</w:t>
      </w:r>
      <w:r>
        <w:rPr>
          <w:rFonts w:ascii="Avenir Next LT Pro" w:hAnsi="Avenir Next LT Pro"/>
          <w:sz w:val="24"/>
          <w:szCs w:val="24"/>
        </w:rPr>
        <w:t xml:space="preserve"> that </w:t>
      </w:r>
      <w:r w:rsidR="003575CF">
        <w:rPr>
          <w:rFonts w:ascii="Avenir Next LT Pro" w:hAnsi="Avenir Next LT Pro"/>
          <w:sz w:val="24"/>
          <w:szCs w:val="24"/>
        </w:rPr>
        <w:t>GALs are</w:t>
      </w:r>
      <w:r>
        <w:rPr>
          <w:rFonts w:ascii="Avenir Next LT Pro" w:hAnsi="Avenir Next LT Pro"/>
          <w:sz w:val="24"/>
          <w:szCs w:val="24"/>
        </w:rPr>
        <w:t xml:space="preserve"> obligat</w:t>
      </w:r>
      <w:r w:rsidR="003575CF">
        <w:rPr>
          <w:rFonts w:ascii="Avenir Next LT Pro" w:hAnsi="Avenir Next LT Pro"/>
          <w:sz w:val="24"/>
          <w:szCs w:val="24"/>
        </w:rPr>
        <w:t>ed</w:t>
      </w:r>
      <w:r>
        <w:rPr>
          <w:rFonts w:ascii="Avenir Next LT Pro" w:hAnsi="Avenir Next LT Pro"/>
          <w:sz w:val="24"/>
          <w:szCs w:val="24"/>
        </w:rPr>
        <w:t xml:space="preserve"> </w:t>
      </w:r>
      <w:r w:rsidR="00260706">
        <w:rPr>
          <w:rFonts w:ascii="Avenir Next LT Pro" w:hAnsi="Avenir Next LT Pro"/>
          <w:sz w:val="24"/>
          <w:szCs w:val="24"/>
        </w:rPr>
        <w:t>to represent a child,</w:t>
      </w:r>
      <w:r w:rsidR="008B311F">
        <w:rPr>
          <w:rStyle w:val="FootnoteReference"/>
          <w:rFonts w:ascii="Avenir Next LT Pro" w:hAnsi="Avenir Next LT Pro"/>
          <w:sz w:val="24"/>
          <w:szCs w:val="24"/>
        </w:rPr>
        <w:footnoteReference w:id="1"/>
      </w:r>
      <w:r w:rsidR="00260706">
        <w:rPr>
          <w:rFonts w:ascii="Avenir Next LT Pro" w:hAnsi="Avenir Next LT Pro"/>
          <w:sz w:val="24"/>
          <w:szCs w:val="24"/>
        </w:rPr>
        <w:t xml:space="preserve"> GAL standards </w:t>
      </w:r>
      <w:r w:rsidR="00CC320B">
        <w:rPr>
          <w:rFonts w:ascii="Avenir Next LT Pro" w:hAnsi="Avenir Next LT Pro"/>
          <w:sz w:val="24"/>
          <w:szCs w:val="24"/>
        </w:rPr>
        <w:t xml:space="preserve">clearly </w:t>
      </w:r>
      <w:r w:rsidR="00EA7F15">
        <w:rPr>
          <w:rFonts w:ascii="Avenir Next LT Pro" w:hAnsi="Avenir Next LT Pro"/>
          <w:sz w:val="24"/>
          <w:szCs w:val="24"/>
        </w:rPr>
        <w:t xml:space="preserve">distinguish </w:t>
      </w:r>
      <w:r w:rsidR="00CC320B">
        <w:rPr>
          <w:rFonts w:ascii="Avenir Next LT Pro" w:hAnsi="Avenir Next LT Pro"/>
          <w:sz w:val="24"/>
          <w:szCs w:val="24"/>
        </w:rPr>
        <w:t xml:space="preserve">the roles of a lawyer for the child and a </w:t>
      </w:r>
      <w:r w:rsidR="00EA7F15">
        <w:rPr>
          <w:rFonts w:ascii="Avenir Next LT Pro" w:hAnsi="Avenir Next LT Pro"/>
          <w:sz w:val="24"/>
          <w:szCs w:val="24"/>
        </w:rPr>
        <w:t>GAL</w:t>
      </w:r>
      <w:r w:rsidR="00FC27A9">
        <w:rPr>
          <w:rFonts w:ascii="Avenir Next LT Pro" w:hAnsi="Avenir Next LT Pro"/>
          <w:sz w:val="24"/>
          <w:szCs w:val="24"/>
        </w:rPr>
        <w:t>.</w:t>
      </w:r>
      <w:r w:rsidR="00FC27A9">
        <w:rPr>
          <w:rStyle w:val="FootnoteReference"/>
          <w:rFonts w:ascii="Avenir Next LT Pro" w:hAnsi="Avenir Next LT Pro"/>
          <w:sz w:val="24"/>
          <w:szCs w:val="24"/>
        </w:rPr>
        <w:footnoteReference w:id="2"/>
      </w:r>
      <w:r w:rsidR="00764F1B">
        <w:rPr>
          <w:rFonts w:ascii="Avenir Next LT Pro" w:hAnsi="Avenir Next LT Pro"/>
          <w:sz w:val="24"/>
          <w:szCs w:val="24"/>
        </w:rPr>
        <w:t xml:space="preserve"> </w:t>
      </w:r>
      <w:r w:rsidR="00E26B57">
        <w:rPr>
          <w:rFonts w:ascii="Avenir Next LT Pro" w:hAnsi="Avenir Next LT Pro"/>
          <w:sz w:val="24"/>
          <w:szCs w:val="24"/>
        </w:rPr>
        <w:t>The</w:t>
      </w:r>
      <w:r w:rsidR="00BF47D3">
        <w:rPr>
          <w:rFonts w:ascii="Avenir Next LT Pro" w:hAnsi="Avenir Next LT Pro"/>
          <w:sz w:val="24"/>
          <w:szCs w:val="24"/>
        </w:rPr>
        <w:t>y</w:t>
      </w:r>
      <w:r w:rsidR="00E26B57">
        <w:rPr>
          <w:rFonts w:ascii="Avenir Next LT Pro" w:hAnsi="Avenir Next LT Pro"/>
          <w:sz w:val="24"/>
          <w:szCs w:val="24"/>
        </w:rPr>
        <w:t xml:space="preserve"> </w:t>
      </w:r>
      <w:r w:rsidR="00764F1B">
        <w:rPr>
          <w:rFonts w:ascii="Avenir Next LT Pro" w:hAnsi="Avenir Next LT Pro"/>
          <w:sz w:val="24"/>
          <w:szCs w:val="24"/>
        </w:rPr>
        <w:t>reinforce that GAL</w:t>
      </w:r>
      <w:r w:rsidR="00BF47D3">
        <w:rPr>
          <w:rFonts w:ascii="Avenir Next LT Pro" w:hAnsi="Avenir Next LT Pro"/>
          <w:sz w:val="24"/>
          <w:szCs w:val="24"/>
        </w:rPr>
        <w:t>s</w:t>
      </w:r>
      <w:r w:rsidR="00764F1B">
        <w:rPr>
          <w:rFonts w:ascii="Avenir Next LT Pro" w:hAnsi="Avenir Next LT Pro"/>
          <w:sz w:val="24"/>
          <w:szCs w:val="24"/>
        </w:rPr>
        <w:t xml:space="preserve"> do not represent </w:t>
      </w:r>
      <w:r w:rsidR="00BC4A0F">
        <w:rPr>
          <w:rFonts w:ascii="Avenir Next LT Pro" w:hAnsi="Avenir Next LT Pro"/>
          <w:sz w:val="24"/>
          <w:szCs w:val="24"/>
        </w:rPr>
        <w:t>children</w:t>
      </w:r>
      <w:r w:rsidR="00532FEE">
        <w:rPr>
          <w:rFonts w:ascii="Avenir Next LT Pro" w:hAnsi="Avenir Next LT Pro"/>
          <w:sz w:val="24"/>
          <w:szCs w:val="24"/>
        </w:rPr>
        <w:t>’</w:t>
      </w:r>
      <w:r w:rsidR="00BC4A0F">
        <w:rPr>
          <w:rFonts w:ascii="Avenir Next LT Pro" w:hAnsi="Avenir Next LT Pro"/>
          <w:sz w:val="24"/>
          <w:szCs w:val="24"/>
        </w:rPr>
        <w:t>s positions but conduct an independent analysis and advocate</w:t>
      </w:r>
      <w:r w:rsidR="00764F1B">
        <w:rPr>
          <w:rFonts w:ascii="Avenir Next LT Pro" w:hAnsi="Avenir Next LT Pro"/>
          <w:sz w:val="24"/>
          <w:szCs w:val="24"/>
        </w:rPr>
        <w:t xml:space="preserve"> for </w:t>
      </w:r>
      <w:r w:rsidR="00FC0344">
        <w:rPr>
          <w:rFonts w:ascii="Avenir Next LT Pro" w:hAnsi="Avenir Next LT Pro"/>
          <w:sz w:val="24"/>
          <w:szCs w:val="24"/>
        </w:rPr>
        <w:t>what they believe is in children</w:t>
      </w:r>
      <w:r w:rsidR="00532FEE">
        <w:rPr>
          <w:rFonts w:ascii="Avenir Next LT Pro" w:hAnsi="Avenir Next LT Pro"/>
          <w:sz w:val="24"/>
          <w:szCs w:val="24"/>
        </w:rPr>
        <w:t>’</w:t>
      </w:r>
      <w:r w:rsidR="00FC0344">
        <w:rPr>
          <w:rFonts w:ascii="Avenir Next LT Pro" w:hAnsi="Avenir Next LT Pro"/>
          <w:sz w:val="24"/>
          <w:szCs w:val="24"/>
        </w:rPr>
        <w:t xml:space="preserve">s </w:t>
      </w:r>
      <w:r w:rsidR="00764F1B">
        <w:rPr>
          <w:rFonts w:ascii="Avenir Next LT Pro" w:hAnsi="Avenir Next LT Pro"/>
          <w:sz w:val="24"/>
          <w:szCs w:val="24"/>
        </w:rPr>
        <w:t xml:space="preserve">best </w:t>
      </w:r>
      <w:r w:rsidR="00FC0344">
        <w:rPr>
          <w:rFonts w:ascii="Avenir Next LT Pro" w:hAnsi="Avenir Next LT Pro"/>
          <w:sz w:val="24"/>
          <w:szCs w:val="24"/>
        </w:rPr>
        <w:t>interests</w:t>
      </w:r>
      <w:r w:rsidR="003575CF">
        <w:rPr>
          <w:rFonts w:ascii="Avenir Next LT Pro" w:hAnsi="Avenir Next LT Pro"/>
          <w:sz w:val="24"/>
          <w:szCs w:val="24"/>
        </w:rPr>
        <w:t>.</w:t>
      </w:r>
      <w:r w:rsidR="00EA3803">
        <w:rPr>
          <w:rStyle w:val="FootnoteReference"/>
          <w:rFonts w:ascii="Avenir Next LT Pro" w:hAnsi="Avenir Next LT Pro"/>
          <w:sz w:val="24"/>
          <w:szCs w:val="24"/>
        </w:rPr>
        <w:footnoteReference w:id="3"/>
      </w:r>
    </w:p>
    <w:p w14:paraId="464FE018" w14:textId="77777777" w:rsidR="003575CF" w:rsidRDefault="003575CF" w:rsidP="00D25C39">
      <w:pPr>
        <w:jc w:val="both"/>
        <w:rPr>
          <w:rFonts w:ascii="Avenir Next LT Pro" w:hAnsi="Avenir Next LT Pro"/>
          <w:sz w:val="24"/>
          <w:szCs w:val="24"/>
        </w:rPr>
      </w:pPr>
    </w:p>
    <w:p w14:paraId="6FA33414" w14:textId="77A388C9" w:rsidR="006F32E2" w:rsidRPr="001F2FAD" w:rsidRDefault="007368F6" w:rsidP="052C63AA">
      <w:pPr>
        <w:jc w:val="both"/>
        <w:rPr>
          <w:rFonts w:ascii="Avenir Next LT Pro" w:hAnsi="Avenir Next LT Pro"/>
          <w:sz w:val="24"/>
          <w:szCs w:val="24"/>
        </w:rPr>
      </w:pPr>
      <w:r>
        <w:rPr>
          <w:rFonts w:ascii="Avenir Next LT Pro" w:hAnsi="Avenir Next LT Pro"/>
          <w:sz w:val="24"/>
          <w:szCs w:val="24"/>
        </w:rPr>
        <w:t xml:space="preserve">Specifically, </w:t>
      </w:r>
      <w:r w:rsidR="006F399D">
        <w:rPr>
          <w:rFonts w:ascii="Avenir Next LT Pro" w:hAnsi="Avenir Next LT Pro"/>
          <w:sz w:val="24"/>
          <w:szCs w:val="24"/>
        </w:rPr>
        <w:t>GAL</w:t>
      </w:r>
      <w:r w:rsidR="00486B53">
        <w:rPr>
          <w:rFonts w:ascii="Avenir Next LT Pro" w:hAnsi="Avenir Next LT Pro"/>
          <w:sz w:val="24"/>
          <w:szCs w:val="24"/>
        </w:rPr>
        <w:t>s</w:t>
      </w:r>
      <w:r w:rsidR="006F399D">
        <w:rPr>
          <w:rFonts w:ascii="Avenir Next LT Pro" w:hAnsi="Avenir Next LT Pro"/>
          <w:sz w:val="24"/>
          <w:szCs w:val="24"/>
        </w:rPr>
        <w:t xml:space="preserve"> </w:t>
      </w:r>
      <w:r>
        <w:rPr>
          <w:rFonts w:ascii="Avenir Next LT Pro" w:hAnsi="Avenir Next LT Pro"/>
          <w:sz w:val="24"/>
          <w:szCs w:val="24"/>
        </w:rPr>
        <w:t>must</w:t>
      </w:r>
      <w:r w:rsidR="006F399D">
        <w:rPr>
          <w:rFonts w:ascii="Avenir Next LT Pro" w:hAnsi="Avenir Next LT Pro"/>
          <w:sz w:val="24"/>
          <w:szCs w:val="24"/>
        </w:rPr>
        <w:t xml:space="preserve"> </w:t>
      </w:r>
      <w:r w:rsidR="000A2ECE">
        <w:rPr>
          <w:rFonts w:ascii="Avenir Next LT Pro" w:hAnsi="Avenir Next LT Pro"/>
          <w:sz w:val="24"/>
          <w:szCs w:val="24"/>
        </w:rPr>
        <w:t xml:space="preserve">advocate for what </w:t>
      </w:r>
      <w:r w:rsidR="00486B53">
        <w:rPr>
          <w:rFonts w:ascii="Avenir Next LT Pro" w:hAnsi="Avenir Next LT Pro"/>
          <w:sz w:val="24"/>
          <w:szCs w:val="24"/>
        </w:rPr>
        <w:t>they consider</w:t>
      </w:r>
      <w:r w:rsidR="000A2ECE">
        <w:rPr>
          <w:rFonts w:ascii="Avenir Next LT Pro" w:hAnsi="Avenir Next LT Pro"/>
          <w:sz w:val="24"/>
          <w:szCs w:val="24"/>
        </w:rPr>
        <w:t xml:space="preserve"> to be the best interests of </w:t>
      </w:r>
      <w:r w:rsidR="00486B53">
        <w:rPr>
          <w:rFonts w:ascii="Avenir Next LT Pro" w:hAnsi="Avenir Next LT Pro"/>
          <w:sz w:val="24"/>
          <w:szCs w:val="24"/>
        </w:rPr>
        <w:t>the children they</w:t>
      </w:r>
      <w:r w:rsidR="00532FEE">
        <w:rPr>
          <w:rFonts w:ascii="Avenir Next LT Pro" w:hAnsi="Avenir Next LT Pro"/>
          <w:sz w:val="24"/>
          <w:szCs w:val="24"/>
        </w:rPr>
        <w:t>’</w:t>
      </w:r>
      <w:r w:rsidR="00486B53">
        <w:rPr>
          <w:rFonts w:ascii="Avenir Next LT Pro" w:hAnsi="Avenir Next LT Pro"/>
          <w:sz w:val="24"/>
          <w:szCs w:val="24"/>
        </w:rPr>
        <w:t>ve been assigned</w:t>
      </w:r>
      <w:r w:rsidR="000A2ECE">
        <w:rPr>
          <w:rFonts w:ascii="Avenir Next LT Pro" w:hAnsi="Avenir Next LT Pro"/>
          <w:sz w:val="24"/>
          <w:szCs w:val="24"/>
        </w:rPr>
        <w:t xml:space="preserve"> based on </w:t>
      </w:r>
      <w:r w:rsidR="00486B53">
        <w:rPr>
          <w:rFonts w:ascii="Avenir Next LT Pro" w:hAnsi="Avenir Next LT Pro"/>
          <w:sz w:val="24"/>
          <w:szCs w:val="24"/>
        </w:rPr>
        <w:t xml:space="preserve">their own </w:t>
      </w:r>
      <w:r w:rsidR="006F399D">
        <w:rPr>
          <w:rFonts w:ascii="Avenir Next LT Pro" w:hAnsi="Avenir Next LT Pro"/>
          <w:sz w:val="24"/>
          <w:szCs w:val="24"/>
        </w:rPr>
        <w:t>independent</w:t>
      </w:r>
      <w:r w:rsidR="00975508">
        <w:rPr>
          <w:rFonts w:ascii="Avenir Next LT Pro" w:hAnsi="Avenir Next LT Pro"/>
          <w:sz w:val="24"/>
          <w:szCs w:val="24"/>
        </w:rPr>
        <w:t xml:space="preserve"> evaluation</w:t>
      </w:r>
      <w:r w:rsidR="000A2ECE">
        <w:rPr>
          <w:rFonts w:ascii="Avenir Next LT Pro" w:hAnsi="Avenir Next LT Pro"/>
          <w:sz w:val="24"/>
          <w:szCs w:val="24"/>
        </w:rPr>
        <w:t>.</w:t>
      </w:r>
      <w:r w:rsidR="008413F2">
        <w:rPr>
          <w:rStyle w:val="FootnoteReference"/>
          <w:rFonts w:ascii="Avenir Next LT Pro" w:hAnsi="Avenir Next LT Pro"/>
          <w:sz w:val="24"/>
          <w:szCs w:val="24"/>
        </w:rPr>
        <w:footnoteReference w:id="4"/>
      </w:r>
      <w:r w:rsidR="000A2ECE">
        <w:rPr>
          <w:rFonts w:ascii="Avenir Next LT Pro" w:hAnsi="Avenir Next LT Pro"/>
          <w:sz w:val="24"/>
          <w:szCs w:val="24"/>
        </w:rPr>
        <w:t xml:space="preserve"> </w:t>
      </w:r>
      <w:r w:rsidR="00486B53">
        <w:rPr>
          <w:rFonts w:ascii="Avenir Next LT Pro" w:hAnsi="Avenir Next LT Pro"/>
          <w:sz w:val="24"/>
          <w:szCs w:val="24"/>
        </w:rPr>
        <w:t>While t</w:t>
      </w:r>
      <w:r w:rsidR="000A2ECE">
        <w:rPr>
          <w:rFonts w:ascii="Avenir Next LT Pro" w:hAnsi="Avenir Next LT Pro"/>
          <w:sz w:val="24"/>
          <w:szCs w:val="24"/>
        </w:rPr>
        <w:t>he</w:t>
      </w:r>
      <w:r w:rsidR="00B56DF6">
        <w:rPr>
          <w:rFonts w:ascii="Avenir Next LT Pro" w:hAnsi="Avenir Next LT Pro"/>
          <w:sz w:val="24"/>
          <w:szCs w:val="24"/>
        </w:rPr>
        <w:t xml:space="preserve">ir review </w:t>
      </w:r>
      <w:r w:rsidR="000A2ECE">
        <w:rPr>
          <w:rFonts w:ascii="Avenir Next LT Pro" w:hAnsi="Avenir Next LT Pro"/>
          <w:sz w:val="24"/>
          <w:szCs w:val="24"/>
        </w:rPr>
        <w:t xml:space="preserve">may </w:t>
      </w:r>
      <w:r w:rsidR="00975508">
        <w:rPr>
          <w:rFonts w:ascii="Avenir Next LT Pro" w:hAnsi="Avenir Next LT Pro"/>
          <w:sz w:val="24"/>
          <w:szCs w:val="24"/>
        </w:rPr>
        <w:t xml:space="preserve">consider </w:t>
      </w:r>
      <w:r w:rsidR="00486B53">
        <w:rPr>
          <w:rFonts w:ascii="Avenir Next LT Pro" w:hAnsi="Avenir Next LT Pro"/>
          <w:sz w:val="24"/>
          <w:szCs w:val="24"/>
        </w:rPr>
        <w:t>children</w:t>
      </w:r>
      <w:r w:rsidR="00532FEE">
        <w:rPr>
          <w:rFonts w:ascii="Avenir Next LT Pro" w:hAnsi="Avenir Next LT Pro"/>
          <w:sz w:val="24"/>
          <w:szCs w:val="24"/>
        </w:rPr>
        <w:t>’</w:t>
      </w:r>
      <w:r w:rsidR="00486B53">
        <w:rPr>
          <w:rFonts w:ascii="Avenir Next LT Pro" w:hAnsi="Avenir Next LT Pro"/>
          <w:sz w:val="24"/>
          <w:szCs w:val="24"/>
        </w:rPr>
        <w:t>s wishes</w:t>
      </w:r>
      <w:r w:rsidR="00975508">
        <w:rPr>
          <w:rFonts w:ascii="Avenir Next LT Pro" w:hAnsi="Avenir Next LT Pro"/>
          <w:sz w:val="24"/>
          <w:szCs w:val="24"/>
        </w:rPr>
        <w:t xml:space="preserve">, </w:t>
      </w:r>
      <w:r w:rsidR="00590E1D">
        <w:rPr>
          <w:rFonts w:ascii="Avenir Next LT Pro" w:hAnsi="Avenir Next LT Pro"/>
          <w:sz w:val="24"/>
          <w:szCs w:val="24"/>
        </w:rPr>
        <w:t xml:space="preserve">the GAL is not bound to </w:t>
      </w:r>
      <w:r w:rsidR="00975508">
        <w:rPr>
          <w:rFonts w:ascii="Avenir Next LT Pro" w:hAnsi="Avenir Next LT Pro"/>
          <w:sz w:val="24"/>
          <w:szCs w:val="24"/>
        </w:rPr>
        <w:t xml:space="preserve">advocate </w:t>
      </w:r>
      <w:r w:rsidR="00342329">
        <w:rPr>
          <w:rFonts w:ascii="Avenir Next LT Pro" w:hAnsi="Avenir Next LT Pro"/>
          <w:sz w:val="24"/>
          <w:szCs w:val="24"/>
        </w:rPr>
        <w:t>for it</w:t>
      </w:r>
      <w:r w:rsidR="00590E1D">
        <w:rPr>
          <w:rFonts w:ascii="Avenir Next LT Pro" w:hAnsi="Avenir Next LT Pro"/>
          <w:sz w:val="24"/>
          <w:szCs w:val="24"/>
        </w:rPr>
        <w:t xml:space="preserve"> on behalf of the child</w:t>
      </w:r>
      <w:r w:rsidR="00342329">
        <w:rPr>
          <w:rFonts w:ascii="Avenir Next LT Pro" w:hAnsi="Avenir Next LT Pro"/>
          <w:sz w:val="24"/>
          <w:szCs w:val="24"/>
        </w:rPr>
        <w:t xml:space="preserve">. </w:t>
      </w:r>
      <w:r w:rsidR="004549E3">
        <w:rPr>
          <w:rFonts w:ascii="Avenir Next LT Pro" w:hAnsi="Avenir Next LT Pro"/>
          <w:sz w:val="24"/>
          <w:szCs w:val="24"/>
        </w:rPr>
        <w:t xml:space="preserve">Thus, </w:t>
      </w:r>
      <w:proofErr w:type="spellStart"/>
      <w:r w:rsidR="001B3CC8">
        <w:rPr>
          <w:rFonts w:ascii="Avenir Next LT Pro" w:hAnsi="Avenir Next LT Pro"/>
          <w:sz w:val="24"/>
          <w:szCs w:val="24"/>
        </w:rPr>
        <w:t>GALs</w:t>
      </w:r>
      <w:r w:rsidR="00532FEE">
        <w:rPr>
          <w:rFonts w:ascii="Avenir Next LT Pro" w:hAnsi="Avenir Next LT Pro"/>
          <w:sz w:val="24"/>
          <w:szCs w:val="24"/>
        </w:rPr>
        <w:t>’</w:t>
      </w:r>
      <w:proofErr w:type="spellEnd"/>
      <w:r w:rsidR="00554B98" w:rsidRPr="052C63AA">
        <w:rPr>
          <w:rFonts w:ascii="Avenir Next LT Pro" w:hAnsi="Avenir Next LT Pro"/>
          <w:sz w:val="24"/>
          <w:szCs w:val="24"/>
        </w:rPr>
        <w:t xml:space="preserve"> duty is to the court</w:t>
      </w:r>
      <w:r w:rsidR="00316188">
        <w:rPr>
          <w:rFonts w:ascii="Avenir Next LT Pro" w:hAnsi="Avenir Next LT Pro"/>
          <w:sz w:val="24"/>
          <w:szCs w:val="24"/>
        </w:rPr>
        <w:t xml:space="preserve"> to represent an independent position rather than the child</w:t>
      </w:r>
      <w:r w:rsidR="00871FC7">
        <w:rPr>
          <w:rFonts w:ascii="Avenir Next LT Pro" w:hAnsi="Avenir Next LT Pro"/>
          <w:sz w:val="24"/>
          <w:szCs w:val="24"/>
        </w:rPr>
        <w:t xml:space="preserve"> … </w:t>
      </w:r>
      <w:r w:rsidR="00316188">
        <w:rPr>
          <w:rFonts w:ascii="Avenir Next LT Pro" w:hAnsi="Avenir Next LT Pro"/>
          <w:sz w:val="24"/>
          <w:szCs w:val="24"/>
        </w:rPr>
        <w:t xml:space="preserve">advising </w:t>
      </w:r>
      <w:r w:rsidR="004549E3">
        <w:rPr>
          <w:rFonts w:ascii="Avenir Next LT Pro" w:hAnsi="Avenir Next LT Pro"/>
          <w:sz w:val="24"/>
          <w:szCs w:val="24"/>
        </w:rPr>
        <w:t xml:space="preserve">the court in making its best interest determination. </w:t>
      </w:r>
      <w:r w:rsidR="00570806">
        <w:rPr>
          <w:rFonts w:ascii="Avenir Next LT Pro" w:hAnsi="Avenir Next LT Pro"/>
          <w:sz w:val="24"/>
          <w:szCs w:val="24"/>
        </w:rPr>
        <w:t xml:space="preserve">Additionally, because </w:t>
      </w:r>
      <w:r w:rsidR="001B3CC8">
        <w:rPr>
          <w:rFonts w:ascii="Avenir Next LT Pro" w:hAnsi="Avenir Next LT Pro"/>
          <w:sz w:val="24"/>
          <w:szCs w:val="24"/>
        </w:rPr>
        <w:t xml:space="preserve">GALs do not serve as </w:t>
      </w:r>
      <w:r w:rsidR="0082399F" w:rsidRPr="052C63AA">
        <w:rPr>
          <w:rFonts w:ascii="Avenir Next LT Pro" w:hAnsi="Avenir Next LT Pro"/>
          <w:sz w:val="24"/>
          <w:szCs w:val="24"/>
        </w:rPr>
        <w:t xml:space="preserve">lawyers for </w:t>
      </w:r>
      <w:r w:rsidR="00570806">
        <w:rPr>
          <w:rFonts w:ascii="Avenir Next LT Pro" w:hAnsi="Avenir Next LT Pro"/>
          <w:sz w:val="24"/>
          <w:szCs w:val="24"/>
        </w:rPr>
        <w:t xml:space="preserve">abused </w:t>
      </w:r>
      <w:r w:rsidR="0082399F" w:rsidRPr="052C63AA">
        <w:rPr>
          <w:rFonts w:ascii="Avenir Next LT Pro" w:hAnsi="Avenir Next LT Pro"/>
          <w:sz w:val="24"/>
          <w:szCs w:val="24"/>
        </w:rPr>
        <w:t>children</w:t>
      </w:r>
      <w:r w:rsidR="008A1516">
        <w:rPr>
          <w:rFonts w:ascii="Avenir Next LT Pro" w:hAnsi="Avenir Next LT Pro"/>
          <w:sz w:val="24"/>
          <w:szCs w:val="24"/>
        </w:rPr>
        <w:t xml:space="preserve">, </w:t>
      </w:r>
      <w:r w:rsidR="00570806">
        <w:rPr>
          <w:rFonts w:ascii="Avenir Next LT Pro" w:hAnsi="Avenir Next LT Pro"/>
          <w:sz w:val="24"/>
          <w:szCs w:val="24"/>
        </w:rPr>
        <w:t xml:space="preserve">they </w:t>
      </w:r>
      <w:r w:rsidR="004653B2">
        <w:rPr>
          <w:rFonts w:ascii="Avenir Next LT Pro" w:hAnsi="Avenir Next LT Pro"/>
          <w:sz w:val="24"/>
          <w:szCs w:val="24"/>
        </w:rPr>
        <w:t xml:space="preserve">generally </w:t>
      </w:r>
      <w:r w:rsidR="008A1516">
        <w:rPr>
          <w:rFonts w:ascii="Avenir Next LT Pro" w:hAnsi="Avenir Next LT Pro"/>
          <w:sz w:val="24"/>
          <w:szCs w:val="24"/>
        </w:rPr>
        <w:t xml:space="preserve">have no ethical obligation to the child, such as </w:t>
      </w:r>
      <w:r w:rsidR="0082399F" w:rsidRPr="052C63AA">
        <w:rPr>
          <w:rFonts w:ascii="Avenir Next LT Pro" w:hAnsi="Avenir Next LT Pro"/>
          <w:sz w:val="24"/>
          <w:szCs w:val="24"/>
        </w:rPr>
        <w:t>attorney</w:t>
      </w:r>
      <w:r w:rsidR="008A1516">
        <w:rPr>
          <w:rFonts w:ascii="Avenir Next LT Pro" w:hAnsi="Avenir Next LT Pro"/>
          <w:sz w:val="24"/>
          <w:szCs w:val="24"/>
        </w:rPr>
        <w:t>-</w:t>
      </w:r>
      <w:r w:rsidR="0082399F" w:rsidRPr="052C63AA">
        <w:rPr>
          <w:rFonts w:ascii="Avenir Next LT Pro" w:hAnsi="Avenir Next LT Pro"/>
          <w:sz w:val="24"/>
          <w:szCs w:val="24"/>
        </w:rPr>
        <w:t>client privilege</w:t>
      </w:r>
      <w:r w:rsidR="00B8161A" w:rsidRPr="052C63AA">
        <w:rPr>
          <w:rFonts w:ascii="Avenir Next LT Pro" w:hAnsi="Avenir Next LT Pro"/>
          <w:sz w:val="24"/>
          <w:szCs w:val="24"/>
        </w:rPr>
        <w:t xml:space="preserve"> and zealous advocacy </w:t>
      </w:r>
      <w:r w:rsidR="008A1516">
        <w:rPr>
          <w:rFonts w:ascii="Avenir Next LT Pro" w:hAnsi="Avenir Next LT Pro"/>
          <w:sz w:val="24"/>
          <w:szCs w:val="24"/>
        </w:rPr>
        <w:t>for a child</w:t>
      </w:r>
      <w:r w:rsidR="00532FEE">
        <w:rPr>
          <w:rFonts w:ascii="Avenir Next LT Pro" w:hAnsi="Avenir Next LT Pro"/>
          <w:sz w:val="24"/>
          <w:szCs w:val="24"/>
        </w:rPr>
        <w:t>’</w:t>
      </w:r>
      <w:r w:rsidR="008A1516">
        <w:rPr>
          <w:rFonts w:ascii="Avenir Next LT Pro" w:hAnsi="Avenir Next LT Pro"/>
          <w:sz w:val="24"/>
          <w:szCs w:val="24"/>
        </w:rPr>
        <w:t>s position</w:t>
      </w:r>
      <w:r w:rsidR="00B8161A" w:rsidRPr="052C63AA">
        <w:rPr>
          <w:rFonts w:ascii="Avenir Next LT Pro" w:hAnsi="Avenir Next LT Pro"/>
          <w:sz w:val="24"/>
          <w:szCs w:val="24"/>
        </w:rPr>
        <w:t xml:space="preserve">. </w:t>
      </w:r>
    </w:p>
    <w:p w14:paraId="162CB83A" w14:textId="4CA433A1" w:rsidR="00B8161A" w:rsidRPr="001F2FAD" w:rsidRDefault="00B8161A" w:rsidP="052C63AA">
      <w:pPr>
        <w:jc w:val="both"/>
        <w:rPr>
          <w:rFonts w:ascii="Avenir Next LT Pro" w:hAnsi="Avenir Next LT Pro"/>
          <w:sz w:val="24"/>
          <w:szCs w:val="24"/>
        </w:rPr>
      </w:pPr>
    </w:p>
    <w:p w14:paraId="6A33C272" w14:textId="02FD4ED2" w:rsidR="00656D74" w:rsidRDefault="00A63917" w:rsidP="00A63917">
      <w:pPr>
        <w:jc w:val="both"/>
        <w:rPr>
          <w:rFonts w:ascii="Avenir Next LT Pro" w:hAnsi="Avenir Next LT Pro"/>
          <w:sz w:val="24"/>
          <w:szCs w:val="24"/>
        </w:rPr>
      </w:pPr>
      <w:r>
        <w:rPr>
          <w:rFonts w:ascii="Avenir Next LT Pro" w:hAnsi="Avenir Next LT Pro"/>
          <w:sz w:val="24"/>
          <w:szCs w:val="24"/>
        </w:rPr>
        <w:t xml:space="preserve">The conflation of </w:t>
      </w:r>
      <w:r w:rsidR="00F94600">
        <w:rPr>
          <w:rFonts w:ascii="Avenir Next LT Pro" w:hAnsi="Avenir Next LT Pro"/>
          <w:sz w:val="24"/>
          <w:szCs w:val="24"/>
        </w:rPr>
        <w:t xml:space="preserve">a statutory provision </w:t>
      </w:r>
      <w:r w:rsidR="001F474E">
        <w:rPr>
          <w:rFonts w:ascii="Avenir Next LT Pro" w:hAnsi="Avenir Next LT Pro"/>
          <w:sz w:val="24"/>
          <w:szCs w:val="24"/>
        </w:rPr>
        <w:t xml:space="preserve">describing </w:t>
      </w:r>
      <w:r>
        <w:rPr>
          <w:rFonts w:ascii="Avenir Next LT Pro" w:hAnsi="Avenir Next LT Pro"/>
          <w:sz w:val="24"/>
          <w:szCs w:val="24"/>
        </w:rPr>
        <w:t xml:space="preserve">legal representation </w:t>
      </w:r>
      <w:r w:rsidR="00F94600">
        <w:rPr>
          <w:rFonts w:ascii="Avenir Next LT Pro" w:hAnsi="Avenir Next LT Pro"/>
          <w:sz w:val="24"/>
          <w:szCs w:val="24"/>
        </w:rPr>
        <w:t>with a</w:t>
      </w:r>
      <w:r w:rsidR="00646870">
        <w:rPr>
          <w:rFonts w:ascii="Avenir Next LT Pro" w:hAnsi="Avenir Next LT Pro"/>
          <w:sz w:val="24"/>
          <w:szCs w:val="24"/>
        </w:rPr>
        <w:t xml:space="preserve"> </w:t>
      </w:r>
      <w:proofErr w:type="spellStart"/>
      <w:r w:rsidR="00F94600">
        <w:rPr>
          <w:rFonts w:ascii="Avenir Next LT Pro" w:hAnsi="Avenir Next LT Pro"/>
          <w:sz w:val="24"/>
          <w:szCs w:val="24"/>
        </w:rPr>
        <w:t>GALs</w:t>
      </w:r>
      <w:r w:rsidR="00532FEE">
        <w:rPr>
          <w:rFonts w:ascii="Avenir Next LT Pro" w:hAnsi="Avenir Next LT Pro"/>
          <w:sz w:val="24"/>
          <w:szCs w:val="24"/>
        </w:rPr>
        <w:t>’</w:t>
      </w:r>
      <w:proofErr w:type="spellEnd"/>
      <w:r w:rsidR="00F94600">
        <w:rPr>
          <w:rFonts w:ascii="Avenir Next LT Pro" w:hAnsi="Avenir Next LT Pro"/>
          <w:sz w:val="24"/>
          <w:szCs w:val="24"/>
        </w:rPr>
        <w:t xml:space="preserve"> </w:t>
      </w:r>
      <w:r w:rsidR="001F474E">
        <w:rPr>
          <w:rFonts w:ascii="Avenir Next LT Pro" w:hAnsi="Avenir Next LT Pro"/>
          <w:sz w:val="24"/>
          <w:szCs w:val="24"/>
        </w:rPr>
        <w:t>duty to represent a concept – the best interests of a child</w:t>
      </w:r>
      <w:r w:rsidR="008E4DE6">
        <w:rPr>
          <w:rFonts w:ascii="Avenir Next LT Pro" w:hAnsi="Avenir Next LT Pro"/>
          <w:sz w:val="24"/>
          <w:szCs w:val="24"/>
        </w:rPr>
        <w:t xml:space="preserve"> – leads to confusion about </w:t>
      </w:r>
      <w:r w:rsidR="008415B1">
        <w:rPr>
          <w:rFonts w:ascii="Avenir Next LT Pro" w:hAnsi="Avenir Next LT Pro"/>
          <w:sz w:val="24"/>
          <w:szCs w:val="24"/>
        </w:rPr>
        <w:t xml:space="preserve">if and </w:t>
      </w:r>
      <w:r w:rsidR="008E4DE6">
        <w:rPr>
          <w:rFonts w:ascii="Avenir Next LT Pro" w:hAnsi="Avenir Next LT Pro"/>
          <w:sz w:val="24"/>
          <w:szCs w:val="24"/>
        </w:rPr>
        <w:t xml:space="preserve">how children are </w:t>
      </w:r>
      <w:r w:rsidR="00532FEE">
        <w:rPr>
          <w:rFonts w:ascii="Avenir Next LT Pro" w:hAnsi="Avenir Next LT Pro"/>
          <w:sz w:val="24"/>
          <w:szCs w:val="24"/>
        </w:rPr>
        <w:t>“</w:t>
      </w:r>
      <w:r w:rsidR="008E4DE6">
        <w:rPr>
          <w:rFonts w:ascii="Avenir Next LT Pro" w:hAnsi="Avenir Next LT Pro"/>
          <w:sz w:val="24"/>
          <w:szCs w:val="24"/>
        </w:rPr>
        <w:t>represented.</w:t>
      </w:r>
      <w:r w:rsidR="00532FEE">
        <w:rPr>
          <w:rFonts w:ascii="Avenir Next LT Pro" w:hAnsi="Avenir Next LT Pro"/>
          <w:sz w:val="24"/>
          <w:szCs w:val="24"/>
        </w:rPr>
        <w:t>”</w:t>
      </w:r>
      <w:r w:rsidR="008E4DE6">
        <w:rPr>
          <w:rFonts w:ascii="Avenir Next LT Pro" w:hAnsi="Avenir Next LT Pro"/>
          <w:sz w:val="24"/>
          <w:szCs w:val="24"/>
        </w:rPr>
        <w:t xml:space="preserve"> </w:t>
      </w:r>
      <w:r w:rsidR="00656D74">
        <w:rPr>
          <w:rFonts w:ascii="Avenir Next LT Pro" w:hAnsi="Avenir Next LT Pro"/>
          <w:sz w:val="24"/>
          <w:szCs w:val="24"/>
        </w:rPr>
        <w:t xml:space="preserve">The bottom line </w:t>
      </w:r>
      <w:r w:rsidR="006472D3">
        <w:rPr>
          <w:rFonts w:ascii="Avenir Next LT Pro" w:hAnsi="Avenir Next LT Pro"/>
          <w:sz w:val="24"/>
          <w:szCs w:val="24"/>
        </w:rPr>
        <w:t>is that</w:t>
      </w:r>
      <w:r w:rsidR="008415B1">
        <w:rPr>
          <w:rFonts w:ascii="Avenir Next LT Pro" w:hAnsi="Avenir Next LT Pro"/>
          <w:sz w:val="24"/>
          <w:szCs w:val="24"/>
        </w:rPr>
        <w:t xml:space="preserve"> </w:t>
      </w:r>
      <w:r w:rsidR="006B2D75">
        <w:rPr>
          <w:rFonts w:ascii="Avenir Next LT Pro" w:hAnsi="Avenir Next LT Pro"/>
          <w:sz w:val="24"/>
          <w:szCs w:val="24"/>
        </w:rPr>
        <w:t xml:space="preserve">most </w:t>
      </w:r>
      <w:r w:rsidR="008415B1">
        <w:rPr>
          <w:rFonts w:ascii="Avenir Next LT Pro" w:hAnsi="Avenir Next LT Pro"/>
          <w:sz w:val="24"/>
          <w:szCs w:val="24"/>
        </w:rPr>
        <w:t>children</w:t>
      </w:r>
      <w:r w:rsidR="00656D74">
        <w:rPr>
          <w:rFonts w:ascii="Avenir Next LT Pro" w:hAnsi="Avenir Next LT Pro"/>
          <w:sz w:val="24"/>
          <w:szCs w:val="24"/>
        </w:rPr>
        <w:t xml:space="preserve"> do not have </w:t>
      </w:r>
      <w:r w:rsidR="006472D3">
        <w:rPr>
          <w:rFonts w:ascii="Avenir Next LT Pro" w:hAnsi="Avenir Next LT Pro"/>
          <w:sz w:val="24"/>
          <w:szCs w:val="24"/>
        </w:rPr>
        <w:t>an advocate</w:t>
      </w:r>
      <w:r w:rsidR="00656D74">
        <w:rPr>
          <w:rFonts w:ascii="Avenir Next LT Pro" w:hAnsi="Avenir Next LT Pro"/>
          <w:sz w:val="24"/>
          <w:szCs w:val="24"/>
        </w:rPr>
        <w:t xml:space="preserve"> </w:t>
      </w:r>
      <w:r w:rsidR="00B55B54">
        <w:rPr>
          <w:rFonts w:ascii="Avenir Next LT Pro" w:hAnsi="Avenir Next LT Pro"/>
          <w:sz w:val="24"/>
          <w:szCs w:val="24"/>
        </w:rPr>
        <w:t>giving them the voice</w:t>
      </w:r>
      <w:r w:rsidR="0093630B">
        <w:rPr>
          <w:rFonts w:ascii="Avenir Next LT Pro" w:hAnsi="Avenir Next LT Pro"/>
          <w:sz w:val="24"/>
          <w:szCs w:val="24"/>
        </w:rPr>
        <w:t xml:space="preserve"> to which they are entitled when so much in their lives </w:t>
      </w:r>
      <w:r w:rsidR="00553748">
        <w:rPr>
          <w:rFonts w:ascii="Avenir Next LT Pro" w:hAnsi="Avenir Next LT Pro"/>
          <w:sz w:val="24"/>
          <w:szCs w:val="24"/>
        </w:rPr>
        <w:t>is</w:t>
      </w:r>
      <w:r w:rsidR="0093630B">
        <w:rPr>
          <w:rFonts w:ascii="Avenir Next LT Pro" w:hAnsi="Avenir Next LT Pro"/>
          <w:sz w:val="24"/>
          <w:szCs w:val="24"/>
        </w:rPr>
        <w:t xml:space="preserve"> at stake. </w:t>
      </w:r>
    </w:p>
    <w:p w14:paraId="3FA39963" w14:textId="77777777" w:rsidR="00656D74" w:rsidRDefault="00656D74" w:rsidP="00A63917">
      <w:pPr>
        <w:jc w:val="both"/>
        <w:rPr>
          <w:rFonts w:ascii="Avenir Next LT Pro" w:hAnsi="Avenir Next LT Pro"/>
          <w:sz w:val="24"/>
          <w:szCs w:val="24"/>
        </w:rPr>
      </w:pPr>
    </w:p>
    <w:p w14:paraId="7359C57A" w14:textId="4288FB0E" w:rsidR="003E2353" w:rsidRPr="003E2353" w:rsidRDefault="003E2353" w:rsidP="003E2353">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t>Children</w:t>
      </w:r>
      <w:r w:rsidR="00532FEE">
        <w:rPr>
          <w:rFonts w:ascii="Avenir Next LT Pro" w:hAnsi="Avenir Next LT Pro"/>
          <w:i/>
          <w:iCs/>
          <w:sz w:val="24"/>
          <w:szCs w:val="24"/>
        </w:rPr>
        <w:t>’</w:t>
      </w:r>
      <w:r>
        <w:rPr>
          <w:rFonts w:ascii="Avenir Next LT Pro" w:hAnsi="Avenir Next LT Pro"/>
          <w:i/>
          <w:iCs/>
          <w:sz w:val="24"/>
          <w:szCs w:val="24"/>
        </w:rPr>
        <w:t xml:space="preserve">s rights cannot </w:t>
      </w:r>
      <w:r w:rsidR="00553748">
        <w:rPr>
          <w:rFonts w:ascii="Avenir Next LT Pro" w:hAnsi="Avenir Next LT Pro"/>
          <w:i/>
          <w:iCs/>
          <w:sz w:val="24"/>
          <w:szCs w:val="24"/>
        </w:rPr>
        <w:t xml:space="preserve">effectively </w:t>
      </w:r>
      <w:r>
        <w:rPr>
          <w:rFonts w:ascii="Avenir Next LT Pro" w:hAnsi="Avenir Next LT Pro"/>
          <w:i/>
          <w:iCs/>
          <w:sz w:val="24"/>
          <w:szCs w:val="24"/>
        </w:rPr>
        <w:t xml:space="preserve">be enforced without </w:t>
      </w:r>
      <w:r w:rsidR="00635AC0">
        <w:rPr>
          <w:rFonts w:ascii="Avenir Next LT Pro" w:hAnsi="Avenir Next LT Pro"/>
          <w:i/>
          <w:iCs/>
          <w:sz w:val="24"/>
          <w:szCs w:val="24"/>
        </w:rPr>
        <w:t>client-directed attorneys</w:t>
      </w:r>
      <w:r w:rsidR="00553748">
        <w:rPr>
          <w:rFonts w:ascii="Avenir Next LT Pro" w:hAnsi="Avenir Next LT Pro"/>
          <w:i/>
          <w:iCs/>
          <w:sz w:val="24"/>
          <w:szCs w:val="24"/>
        </w:rPr>
        <w:t>.</w:t>
      </w:r>
    </w:p>
    <w:p w14:paraId="6C82625A" w14:textId="77777777" w:rsidR="003E2353" w:rsidRDefault="003E2353" w:rsidP="00A63917">
      <w:pPr>
        <w:jc w:val="both"/>
        <w:rPr>
          <w:rFonts w:ascii="Avenir Next LT Pro" w:hAnsi="Avenir Next LT Pro"/>
          <w:sz w:val="24"/>
          <w:szCs w:val="24"/>
        </w:rPr>
      </w:pPr>
    </w:p>
    <w:p w14:paraId="66EE35BF" w14:textId="77777777" w:rsidR="00172864" w:rsidRDefault="00D83147" w:rsidP="00A63917">
      <w:pPr>
        <w:jc w:val="both"/>
        <w:rPr>
          <w:rFonts w:ascii="Avenir Next LT Pro" w:hAnsi="Avenir Next LT Pro"/>
          <w:sz w:val="24"/>
          <w:szCs w:val="24"/>
        </w:rPr>
      </w:pPr>
      <w:r>
        <w:rPr>
          <w:rFonts w:ascii="Avenir Next LT Pro" w:hAnsi="Avenir Next LT Pro"/>
          <w:sz w:val="24"/>
          <w:szCs w:val="24"/>
        </w:rPr>
        <w:t>Children in foster care should be guaranteed</w:t>
      </w:r>
      <w:r w:rsidR="00B16C78">
        <w:rPr>
          <w:rFonts w:ascii="Avenir Next LT Pro" w:hAnsi="Avenir Next LT Pro"/>
          <w:sz w:val="24"/>
          <w:szCs w:val="24"/>
        </w:rPr>
        <w:t xml:space="preserve"> rights ranging in nature from timely permanency in a safe and loving home</w:t>
      </w:r>
      <w:r w:rsidR="00253F0C">
        <w:rPr>
          <w:rFonts w:ascii="Avenir Next LT Pro" w:hAnsi="Avenir Next LT Pro"/>
          <w:sz w:val="24"/>
          <w:szCs w:val="24"/>
        </w:rPr>
        <w:t xml:space="preserve"> to placement with or ongoing contact with siblings. </w:t>
      </w:r>
      <w:r w:rsidR="00285486">
        <w:rPr>
          <w:rFonts w:ascii="Avenir Next LT Pro" w:hAnsi="Avenir Next LT Pro"/>
          <w:sz w:val="24"/>
          <w:szCs w:val="24"/>
        </w:rPr>
        <w:t xml:space="preserve">Any rights that the state of Missouri recognizes </w:t>
      </w:r>
      <w:r w:rsidR="00F4056B">
        <w:rPr>
          <w:rFonts w:ascii="Avenir Next LT Pro" w:hAnsi="Avenir Next LT Pro"/>
          <w:sz w:val="24"/>
          <w:szCs w:val="24"/>
        </w:rPr>
        <w:t xml:space="preserve">for children in foster care cannot be adequately enforced if the child does not have an attorney who is ethically bound to </w:t>
      </w:r>
      <w:r w:rsidR="00553748">
        <w:rPr>
          <w:rFonts w:ascii="Avenir Next LT Pro" w:hAnsi="Avenir Next LT Pro"/>
          <w:sz w:val="24"/>
          <w:szCs w:val="24"/>
        </w:rPr>
        <w:t>protect those rights</w:t>
      </w:r>
      <w:r w:rsidR="00395A5F">
        <w:rPr>
          <w:rFonts w:ascii="Avenir Next LT Pro" w:hAnsi="Avenir Next LT Pro"/>
          <w:sz w:val="24"/>
          <w:szCs w:val="24"/>
        </w:rPr>
        <w:t xml:space="preserve">. </w:t>
      </w:r>
    </w:p>
    <w:p w14:paraId="5EA6224E" w14:textId="77777777" w:rsidR="00172864" w:rsidRDefault="00172864" w:rsidP="00A63917">
      <w:pPr>
        <w:jc w:val="both"/>
        <w:rPr>
          <w:rFonts w:ascii="Avenir Next LT Pro" w:hAnsi="Avenir Next LT Pro"/>
          <w:sz w:val="24"/>
          <w:szCs w:val="24"/>
        </w:rPr>
      </w:pPr>
    </w:p>
    <w:p w14:paraId="75316466" w14:textId="7A4B317A" w:rsidR="003E2353" w:rsidRDefault="000F40F0" w:rsidP="00A63917">
      <w:pPr>
        <w:jc w:val="both"/>
        <w:rPr>
          <w:rFonts w:ascii="Avenir Next LT Pro" w:hAnsi="Avenir Next LT Pro"/>
          <w:sz w:val="24"/>
          <w:szCs w:val="24"/>
        </w:rPr>
      </w:pPr>
      <w:r>
        <w:rPr>
          <w:rFonts w:ascii="Avenir Next LT Pro" w:hAnsi="Avenir Next LT Pro"/>
          <w:sz w:val="24"/>
          <w:szCs w:val="24"/>
        </w:rPr>
        <w:lastRenderedPageBreak/>
        <w:t>Even if a</w:t>
      </w:r>
      <w:r w:rsidR="00172864">
        <w:rPr>
          <w:rFonts w:ascii="Avenir Next LT Pro" w:hAnsi="Avenir Next LT Pro"/>
          <w:sz w:val="24"/>
          <w:szCs w:val="24"/>
        </w:rPr>
        <w:t xml:space="preserve"> GAL meet</w:t>
      </w:r>
      <w:r>
        <w:rPr>
          <w:rFonts w:ascii="Avenir Next LT Pro" w:hAnsi="Avenir Next LT Pro"/>
          <w:sz w:val="24"/>
          <w:szCs w:val="24"/>
        </w:rPr>
        <w:t>s</w:t>
      </w:r>
      <w:r w:rsidR="00172864">
        <w:rPr>
          <w:rFonts w:ascii="Avenir Next LT Pro" w:hAnsi="Avenir Next LT Pro"/>
          <w:sz w:val="24"/>
          <w:szCs w:val="24"/>
        </w:rPr>
        <w:t xml:space="preserve"> with a child</w:t>
      </w:r>
      <w:r>
        <w:rPr>
          <w:rFonts w:ascii="Avenir Next LT Pro" w:hAnsi="Avenir Next LT Pro"/>
          <w:sz w:val="24"/>
          <w:szCs w:val="24"/>
        </w:rPr>
        <w:t xml:space="preserve"> and </w:t>
      </w:r>
      <w:r w:rsidR="00172864">
        <w:rPr>
          <w:rFonts w:ascii="Avenir Next LT Pro" w:hAnsi="Avenir Next LT Pro"/>
          <w:sz w:val="24"/>
          <w:szCs w:val="24"/>
        </w:rPr>
        <w:t>discover</w:t>
      </w:r>
      <w:r>
        <w:rPr>
          <w:rFonts w:ascii="Avenir Next LT Pro" w:hAnsi="Avenir Next LT Pro"/>
          <w:sz w:val="24"/>
          <w:szCs w:val="24"/>
        </w:rPr>
        <w:t>s</w:t>
      </w:r>
      <w:r w:rsidR="00172864">
        <w:rPr>
          <w:rFonts w:ascii="Avenir Next LT Pro" w:hAnsi="Avenir Next LT Pro"/>
          <w:sz w:val="24"/>
          <w:szCs w:val="24"/>
        </w:rPr>
        <w:t xml:space="preserve"> the child’s wishes, </w:t>
      </w:r>
      <w:r>
        <w:rPr>
          <w:rFonts w:ascii="Avenir Next LT Pro" w:hAnsi="Avenir Next LT Pro"/>
          <w:sz w:val="24"/>
          <w:szCs w:val="24"/>
        </w:rPr>
        <w:t>the GAL is under no obligation to advocate for the child’s expressed wishes. In fact, if the GAL disagrees with the child</w:t>
      </w:r>
      <w:r w:rsidR="00152FB8">
        <w:rPr>
          <w:rFonts w:ascii="Avenir Next LT Pro" w:hAnsi="Avenir Next LT Pro"/>
          <w:sz w:val="24"/>
          <w:szCs w:val="24"/>
        </w:rPr>
        <w:t>,</w:t>
      </w:r>
      <w:r>
        <w:rPr>
          <w:rFonts w:ascii="Avenir Next LT Pro" w:hAnsi="Avenir Next LT Pro"/>
          <w:sz w:val="24"/>
          <w:szCs w:val="24"/>
        </w:rPr>
        <w:t xml:space="preserve"> the GAL </w:t>
      </w:r>
      <w:r w:rsidR="004B1D7D">
        <w:rPr>
          <w:rFonts w:ascii="Avenir Next LT Pro" w:hAnsi="Avenir Next LT Pro"/>
          <w:sz w:val="24"/>
          <w:szCs w:val="24"/>
        </w:rPr>
        <w:t xml:space="preserve">must </w:t>
      </w:r>
      <w:r w:rsidR="00172864">
        <w:rPr>
          <w:rFonts w:ascii="Avenir Next LT Pro" w:hAnsi="Avenir Next LT Pro"/>
          <w:sz w:val="24"/>
          <w:szCs w:val="24"/>
        </w:rPr>
        <w:t xml:space="preserve">advocate for </w:t>
      </w:r>
      <w:r w:rsidR="004B1D7D">
        <w:rPr>
          <w:rFonts w:ascii="Avenir Next LT Pro" w:hAnsi="Avenir Next LT Pro"/>
          <w:sz w:val="24"/>
          <w:szCs w:val="24"/>
        </w:rPr>
        <w:t>the GAL</w:t>
      </w:r>
      <w:r w:rsidR="004E3005">
        <w:rPr>
          <w:rFonts w:ascii="Avenir Next LT Pro" w:hAnsi="Avenir Next LT Pro"/>
          <w:sz w:val="24"/>
          <w:szCs w:val="24"/>
        </w:rPr>
        <w:t>’s</w:t>
      </w:r>
      <w:r w:rsidR="004B1D7D">
        <w:rPr>
          <w:rFonts w:ascii="Avenir Next LT Pro" w:hAnsi="Avenir Next LT Pro"/>
          <w:sz w:val="24"/>
          <w:szCs w:val="24"/>
        </w:rPr>
        <w:t xml:space="preserve"> </w:t>
      </w:r>
      <w:r w:rsidR="00152FB8">
        <w:rPr>
          <w:rFonts w:ascii="Avenir Next LT Pro" w:hAnsi="Avenir Next LT Pro"/>
          <w:sz w:val="24"/>
          <w:szCs w:val="24"/>
        </w:rPr>
        <w:t>position on what is in the child’s</w:t>
      </w:r>
      <w:r w:rsidR="004B1D7D">
        <w:rPr>
          <w:rFonts w:ascii="Avenir Next LT Pro" w:hAnsi="Avenir Next LT Pro"/>
          <w:sz w:val="24"/>
          <w:szCs w:val="24"/>
        </w:rPr>
        <w:t xml:space="preserve"> best interest. </w:t>
      </w:r>
      <w:r w:rsidR="00395A5F">
        <w:rPr>
          <w:rFonts w:ascii="Avenir Next LT Pro" w:hAnsi="Avenir Next LT Pro"/>
          <w:sz w:val="24"/>
          <w:szCs w:val="24"/>
        </w:rPr>
        <w:t xml:space="preserve">Without a lawyer representing their position and advocating for their legal rights, </w:t>
      </w:r>
      <w:r w:rsidR="004E3005">
        <w:rPr>
          <w:rFonts w:ascii="Avenir Next LT Pro" w:hAnsi="Avenir Next LT Pro"/>
          <w:sz w:val="24"/>
          <w:szCs w:val="24"/>
        </w:rPr>
        <w:t>children’s voices are lost</w:t>
      </w:r>
      <w:r w:rsidR="004F7732">
        <w:rPr>
          <w:rFonts w:ascii="Avenir Next LT Pro" w:hAnsi="Avenir Next LT Pro"/>
          <w:sz w:val="24"/>
          <w:szCs w:val="24"/>
        </w:rPr>
        <w:t>, and</w:t>
      </w:r>
      <w:r w:rsidR="004E3005">
        <w:rPr>
          <w:rFonts w:ascii="Avenir Next LT Pro" w:hAnsi="Avenir Next LT Pro"/>
          <w:sz w:val="24"/>
          <w:szCs w:val="24"/>
        </w:rPr>
        <w:t xml:space="preserve"> </w:t>
      </w:r>
      <w:r w:rsidR="00395A5F">
        <w:rPr>
          <w:rFonts w:ascii="Avenir Next LT Pro" w:hAnsi="Avenir Next LT Pro"/>
          <w:sz w:val="24"/>
          <w:szCs w:val="24"/>
        </w:rPr>
        <w:t xml:space="preserve">they are </w:t>
      </w:r>
      <w:r w:rsidR="00D701E9">
        <w:rPr>
          <w:rFonts w:ascii="Avenir Next LT Pro" w:hAnsi="Avenir Next LT Pro"/>
          <w:sz w:val="24"/>
          <w:szCs w:val="24"/>
        </w:rPr>
        <w:t xml:space="preserve">unjustly left </w:t>
      </w:r>
      <w:r w:rsidR="004F7732">
        <w:rPr>
          <w:rFonts w:ascii="Avenir Next LT Pro" w:hAnsi="Avenir Next LT Pro"/>
          <w:sz w:val="24"/>
          <w:szCs w:val="24"/>
        </w:rPr>
        <w:t>to indirectly advocate</w:t>
      </w:r>
      <w:r w:rsidR="00D701E9">
        <w:rPr>
          <w:rFonts w:ascii="Avenir Next LT Pro" w:hAnsi="Avenir Next LT Pro"/>
          <w:sz w:val="24"/>
          <w:szCs w:val="24"/>
        </w:rPr>
        <w:t xml:space="preserve"> for themselves. </w:t>
      </w:r>
    </w:p>
    <w:p w14:paraId="3D1F66B0" w14:textId="77777777" w:rsidR="003E2353" w:rsidRDefault="003E2353" w:rsidP="00A63917">
      <w:pPr>
        <w:jc w:val="both"/>
        <w:rPr>
          <w:rFonts w:ascii="Avenir Next LT Pro" w:hAnsi="Avenir Next LT Pro"/>
          <w:sz w:val="24"/>
          <w:szCs w:val="24"/>
        </w:rPr>
      </w:pPr>
    </w:p>
    <w:p w14:paraId="5ADE6365" w14:textId="7EABFB9F" w:rsidR="00D701E9" w:rsidRDefault="00DC2C18" w:rsidP="00D701E9">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t>HB</w:t>
      </w:r>
      <w:r w:rsidR="006A1230">
        <w:rPr>
          <w:rFonts w:ascii="Avenir Next LT Pro" w:hAnsi="Avenir Next LT Pro"/>
          <w:i/>
          <w:iCs/>
          <w:sz w:val="24"/>
          <w:szCs w:val="24"/>
        </w:rPr>
        <w:t xml:space="preserve"> 2033 </w:t>
      </w:r>
      <w:r w:rsidR="006467FD">
        <w:rPr>
          <w:rFonts w:ascii="Avenir Next LT Pro" w:hAnsi="Avenir Next LT Pro"/>
          <w:i/>
          <w:iCs/>
          <w:sz w:val="24"/>
          <w:szCs w:val="24"/>
        </w:rPr>
        <w:t>Reduces Confusion and Protects the Rights of Children</w:t>
      </w:r>
      <w:r w:rsidR="008B121E">
        <w:rPr>
          <w:rFonts w:ascii="Avenir Next LT Pro" w:hAnsi="Avenir Next LT Pro"/>
          <w:i/>
          <w:iCs/>
          <w:sz w:val="24"/>
          <w:szCs w:val="24"/>
        </w:rPr>
        <w:t>.</w:t>
      </w:r>
    </w:p>
    <w:p w14:paraId="36431CF4" w14:textId="77777777" w:rsidR="008B121E" w:rsidRDefault="008B121E" w:rsidP="008B121E">
      <w:pPr>
        <w:jc w:val="both"/>
        <w:rPr>
          <w:rFonts w:ascii="Avenir Next LT Pro" w:hAnsi="Avenir Next LT Pro"/>
          <w:i/>
          <w:iCs/>
          <w:sz w:val="24"/>
          <w:szCs w:val="24"/>
        </w:rPr>
      </w:pPr>
    </w:p>
    <w:p w14:paraId="443B0F76" w14:textId="7CF61DFF" w:rsidR="001225AD" w:rsidRDefault="00F05CCC" w:rsidP="00884DC6">
      <w:pPr>
        <w:jc w:val="both"/>
        <w:rPr>
          <w:rFonts w:ascii="Avenir Next LT Pro" w:hAnsi="Avenir Next LT Pro"/>
          <w:sz w:val="24"/>
          <w:szCs w:val="24"/>
        </w:rPr>
      </w:pPr>
      <w:r>
        <w:rPr>
          <w:rFonts w:ascii="Avenir Next LT Pro" w:hAnsi="Avenir Next LT Pro"/>
          <w:sz w:val="24"/>
          <w:szCs w:val="24"/>
        </w:rPr>
        <w:t>With HB 2033</w:t>
      </w:r>
      <w:r w:rsidR="006504B6">
        <w:rPr>
          <w:rFonts w:ascii="Avenir Next LT Pro" w:hAnsi="Avenir Next LT Pro"/>
          <w:sz w:val="24"/>
          <w:szCs w:val="24"/>
        </w:rPr>
        <w:t>,</w:t>
      </w:r>
      <w:r w:rsidR="00ED00A4">
        <w:rPr>
          <w:rFonts w:ascii="Avenir Next LT Pro" w:hAnsi="Avenir Next LT Pro"/>
          <w:sz w:val="24"/>
          <w:szCs w:val="24"/>
        </w:rPr>
        <w:t xml:space="preserve"> court</w:t>
      </w:r>
      <w:r w:rsidR="007A6B81">
        <w:rPr>
          <w:rFonts w:ascii="Avenir Next LT Pro" w:hAnsi="Avenir Next LT Pro"/>
          <w:sz w:val="24"/>
          <w:szCs w:val="24"/>
        </w:rPr>
        <w:t>s</w:t>
      </w:r>
      <w:r w:rsidR="00ED00A4">
        <w:rPr>
          <w:rFonts w:ascii="Avenir Next LT Pro" w:hAnsi="Avenir Next LT Pro"/>
          <w:sz w:val="24"/>
          <w:szCs w:val="24"/>
        </w:rPr>
        <w:t xml:space="preserve"> will be </w:t>
      </w:r>
      <w:r w:rsidR="00386DF1">
        <w:rPr>
          <w:rFonts w:ascii="Avenir Next LT Pro" w:hAnsi="Avenir Next LT Pro"/>
          <w:sz w:val="24"/>
          <w:szCs w:val="24"/>
        </w:rPr>
        <w:t xml:space="preserve">required to appoint client-directed counsel </w:t>
      </w:r>
      <w:r w:rsidR="00884DC6">
        <w:rPr>
          <w:rFonts w:ascii="Avenir Next LT Pro" w:hAnsi="Avenir Next LT Pro"/>
          <w:sz w:val="24"/>
          <w:szCs w:val="24"/>
        </w:rPr>
        <w:t xml:space="preserve">to children who are the alleged victims of abuse and neglect. </w:t>
      </w:r>
      <w:r w:rsidR="0019283F">
        <w:rPr>
          <w:rFonts w:ascii="Avenir Next LT Pro" w:hAnsi="Avenir Next LT Pro"/>
          <w:sz w:val="24"/>
          <w:szCs w:val="24"/>
        </w:rPr>
        <w:t>Representation begins prior to the first protective custody hearing</w:t>
      </w:r>
      <w:r w:rsidR="002F0FD3">
        <w:rPr>
          <w:rFonts w:ascii="Avenir Next LT Pro" w:hAnsi="Avenir Next LT Pro"/>
          <w:sz w:val="24"/>
          <w:szCs w:val="24"/>
        </w:rPr>
        <w:t xml:space="preserve"> and extends through permanency</w:t>
      </w:r>
      <w:r w:rsidR="0019283F">
        <w:rPr>
          <w:rFonts w:ascii="Avenir Next LT Pro" w:hAnsi="Avenir Next LT Pro"/>
          <w:sz w:val="24"/>
          <w:szCs w:val="24"/>
        </w:rPr>
        <w:t xml:space="preserve">, ensuring that the child’s voice will be heard </w:t>
      </w:r>
      <w:r w:rsidR="002F0FD3">
        <w:rPr>
          <w:rFonts w:ascii="Avenir Next LT Pro" w:hAnsi="Avenir Next LT Pro"/>
          <w:sz w:val="24"/>
          <w:szCs w:val="24"/>
        </w:rPr>
        <w:t xml:space="preserve">from the beginning </w:t>
      </w:r>
      <w:r w:rsidR="00C56A32">
        <w:rPr>
          <w:rFonts w:ascii="Avenir Next LT Pro" w:hAnsi="Avenir Next LT Pro"/>
          <w:sz w:val="24"/>
          <w:szCs w:val="24"/>
        </w:rPr>
        <w:t>until the child finds a safe home or some other form of permanency.</w:t>
      </w:r>
    </w:p>
    <w:p w14:paraId="59D7B6B7" w14:textId="77777777" w:rsidR="00804A74" w:rsidRDefault="00804A74" w:rsidP="00884DC6">
      <w:pPr>
        <w:jc w:val="both"/>
        <w:rPr>
          <w:rFonts w:ascii="Avenir Next LT Pro" w:hAnsi="Avenir Next LT Pro"/>
          <w:sz w:val="24"/>
          <w:szCs w:val="24"/>
        </w:rPr>
      </w:pPr>
    </w:p>
    <w:p w14:paraId="08C9303E" w14:textId="5F11BDD6" w:rsidR="00804A74" w:rsidRDefault="00804A74" w:rsidP="00884DC6">
      <w:pPr>
        <w:jc w:val="both"/>
        <w:rPr>
          <w:rFonts w:ascii="Avenir Next LT Pro" w:hAnsi="Avenir Next LT Pro"/>
          <w:sz w:val="24"/>
          <w:szCs w:val="24"/>
        </w:rPr>
      </w:pPr>
      <w:r>
        <w:rPr>
          <w:rFonts w:ascii="Avenir Next LT Pro" w:hAnsi="Avenir Next LT Pro"/>
          <w:sz w:val="24"/>
          <w:szCs w:val="24"/>
        </w:rPr>
        <w:t xml:space="preserve">In addition to ensuring that children are directly represented, HB 2033 also contemplates </w:t>
      </w:r>
      <w:r w:rsidR="00776523">
        <w:rPr>
          <w:rFonts w:ascii="Avenir Next LT Pro" w:hAnsi="Avenir Next LT Pro"/>
          <w:sz w:val="24"/>
          <w:szCs w:val="24"/>
        </w:rPr>
        <w:t xml:space="preserve">the quality of representation. Because the pool of </w:t>
      </w:r>
      <w:r w:rsidR="004C6A9D">
        <w:rPr>
          <w:rFonts w:ascii="Avenir Next LT Pro" w:hAnsi="Avenir Next LT Pro"/>
          <w:sz w:val="24"/>
          <w:szCs w:val="24"/>
        </w:rPr>
        <w:t xml:space="preserve">client-directed attorneys is likely to be substantially the same as those that currently serve as GALs, ensuring quality </w:t>
      </w:r>
      <w:r w:rsidR="00655D1E">
        <w:rPr>
          <w:rFonts w:ascii="Avenir Next LT Pro" w:hAnsi="Avenir Next LT Pro"/>
          <w:sz w:val="24"/>
          <w:szCs w:val="24"/>
        </w:rPr>
        <w:t xml:space="preserve">representation training is crucial. </w:t>
      </w:r>
      <w:r w:rsidR="00BE56E1">
        <w:rPr>
          <w:rFonts w:ascii="Avenir Next LT Pro" w:hAnsi="Avenir Next LT Pro"/>
          <w:sz w:val="24"/>
          <w:szCs w:val="24"/>
        </w:rPr>
        <w:t xml:space="preserve">Learning and developing skills associated with </w:t>
      </w:r>
      <w:r w:rsidR="009D63E9">
        <w:rPr>
          <w:rFonts w:ascii="Avenir Next LT Pro" w:hAnsi="Avenir Next LT Pro"/>
          <w:sz w:val="24"/>
          <w:szCs w:val="24"/>
        </w:rPr>
        <w:t xml:space="preserve">quality representation </w:t>
      </w:r>
      <w:r w:rsidR="000C2A23">
        <w:rPr>
          <w:rFonts w:ascii="Avenir Next LT Pro" w:hAnsi="Avenir Next LT Pro"/>
          <w:sz w:val="24"/>
          <w:szCs w:val="24"/>
        </w:rPr>
        <w:t xml:space="preserve">including </w:t>
      </w:r>
      <w:r w:rsidR="009D63E9">
        <w:rPr>
          <w:rFonts w:ascii="Avenir Next LT Pro" w:hAnsi="Avenir Next LT Pro"/>
          <w:sz w:val="24"/>
          <w:szCs w:val="24"/>
        </w:rPr>
        <w:t>u</w:t>
      </w:r>
      <w:r w:rsidR="005C25F8">
        <w:rPr>
          <w:rFonts w:ascii="Avenir Next LT Pro" w:hAnsi="Avenir Next LT Pro"/>
          <w:sz w:val="24"/>
          <w:szCs w:val="24"/>
        </w:rPr>
        <w:t xml:space="preserve">nderstanding </w:t>
      </w:r>
      <w:r w:rsidR="000C2A23">
        <w:rPr>
          <w:rFonts w:ascii="Avenir Next LT Pro" w:hAnsi="Avenir Next LT Pro"/>
          <w:sz w:val="24"/>
          <w:szCs w:val="24"/>
        </w:rPr>
        <w:t xml:space="preserve">the </w:t>
      </w:r>
      <w:proofErr w:type="gramStart"/>
      <w:r w:rsidR="000C2A23">
        <w:rPr>
          <w:rFonts w:ascii="Avenir Next LT Pro" w:hAnsi="Avenir Next LT Pro"/>
          <w:sz w:val="24"/>
          <w:szCs w:val="24"/>
        </w:rPr>
        <w:t>lawyers</w:t>
      </w:r>
      <w:proofErr w:type="gramEnd"/>
      <w:r w:rsidR="000C2A23">
        <w:rPr>
          <w:rFonts w:ascii="Avenir Next LT Pro" w:hAnsi="Avenir Next LT Pro"/>
          <w:sz w:val="24"/>
          <w:szCs w:val="24"/>
        </w:rPr>
        <w:t xml:space="preserve"> </w:t>
      </w:r>
      <w:r w:rsidR="005C25F8">
        <w:rPr>
          <w:rFonts w:ascii="Avenir Next LT Pro" w:hAnsi="Avenir Next LT Pro"/>
          <w:sz w:val="24"/>
          <w:szCs w:val="24"/>
        </w:rPr>
        <w:t xml:space="preserve">ethical </w:t>
      </w:r>
      <w:r w:rsidR="009F58DA">
        <w:rPr>
          <w:rFonts w:ascii="Avenir Next LT Pro" w:hAnsi="Avenir Next LT Pro"/>
          <w:sz w:val="24"/>
          <w:szCs w:val="24"/>
        </w:rPr>
        <w:t>duties</w:t>
      </w:r>
      <w:r w:rsidR="000C2A23">
        <w:rPr>
          <w:rFonts w:ascii="Avenir Next LT Pro" w:hAnsi="Avenir Next LT Pro"/>
          <w:sz w:val="24"/>
          <w:szCs w:val="24"/>
        </w:rPr>
        <w:t xml:space="preserve"> to the child</w:t>
      </w:r>
      <w:r w:rsidR="007E7644">
        <w:rPr>
          <w:rFonts w:ascii="Avenir Next LT Pro" w:hAnsi="Avenir Next LT Pro"/>
          <w:sz w:val="24"/>
          <w:szCs w:val="24"/>
        </w:rPr>
        <w:t>,</w:t>
      </w:r>
      <w:r w:rsidR="009D63E9">
        <w:rPr>
          <w:rFonts w:ascii="Avenir Next LT Pro" w:hAnsi="Avenir Next LT Pro"/>
          <w:sz w:val="24"/>
          <w:szCs w:val="24"/>
        </w:rPr>
        <w:t xml:space="preserve"> how to</w:t>
      </w:r>
      <w:r w:rsidR="007E7644">
        <w:rPr>
          <w:rFonts w:ascii="Avenir Next LT Pro" w:hAnsi="Avenir Next LT Pro"/>
          <w:sz w:val="24"/>
          <w:szCs w:val="24"/>
        </w:rPr>
        <w:t xml:space="preserve"> </w:t>
      </w:r>
      <w:r w:rsidR="0099525C">
        <w:rPr>
          <w:rFonts w:ascii="Avenir Next LT Pro" w:hAnsi="Avenir Next LT Pro"/>
          <w:sz w:val="24"/>
          <w:szCs w:val="24"/>
        </w:rPr>
        <w:t>evaluat</w:t>
      </w:r>
      <w:r w:rsidR="009D63E9">
        <w:rPr>
          <w:rFonts w:ascii="Avenir Next LT Pro" w:hAnsi="Avenir Next LT Pro"/>
          <w:sz w:val="24"/>
          <w:szCs w:val="24"/>
        </w:rPr>
        <w:t>e</w:t>
      </w:r>
      <w:r w:rsidR="0099525C">
        <w:rPr>
          <w:rFonts w:ascii="Avenir Next LT Pro" w:hAnsi="Avenir Next LT Pro"/>
          <w:sz w:val="24"/>
          <w:szCs w:val="24"/>
        </w:rPr>
        <w:t xml:space="preserve"> each child client’s capacity to direct the representation</w:t>
      </w:r>
      <w:r w:rsidR="00F903D5">
        <w:rPr>
          <w:rFonts w:ascii="Avenir Next LT Pro" w:hAnsi="Avenir Next LT Pro"/>
          <w:sz w:val="24"/>
          <w:szCs w:val="24"/>
        </w:rPr>
        <w:t>,</w:t>
      </w:r>
      <w:r w:rsidR="0099525C">
        <w:rPr>
          <w:rFonts w:ascii="Avenir Next LT Pro" w:hAnsi="Avenir Next LT Pro"/>
          <w:sz w:val="24"/>
          <w:szCs w:val="24"/>
        </w:rPr>
        <w:t xml:space="preserve"> and </w:t>
      </w:r>
      <w:r w:rsidR="008D7757">
        <w:rPr>
          <w:rFonts w:ascii="Avenir Next LT Pro" w:hAnsi="Avenir Next LT Pro"/>
          <w:sz w:val="24"/>
          <w:szCs w:val="24"/>
        </w:rPr>
        <w:t xml:space="preserve">how to </w:t>
      </w:r>
      <w:r w:rsidR="0099525C">
        <w:rPr>
          <w:rFonts w:ascii="Avenir Next LT Pro" w:hAnsi="Avenir Next LT Pro"/>
          <w:sz w:val="24"/>
          <w:szCs w:val="24"/>
        </w:rPr>
        <w:t>substitut</w:t>
      </w:r>
      <w:r w:rsidR="008D7757">
        <w:rPr>
          <w:rFonts w:ascii="Avenir Next LT Pro" w:hAnsi="Avenir Next LT Pro"/>
          <w:sz w:val="24"/>
          <w:szCs w:val="24"/>
        </w:rPr>
        <w:t>e</w:t>
      </w:r>
      <w:r w:rsidR="0099525C">
        <w:rPr>
          <w:rFonts w:ascii="Avenir Next LT Pro" w:hAnsi="Avenir Next LT Pro"/>
          <w:sz w:val="24"/>
          <w:szCs w:val="24"/>
        </w:rPr>
        <w:t xml:space="preserve"> judgement </w:t>
      </w:r>
      <w:r w:rsidR="00C420D0">
        <w:rPr>
          <w:rFonts w:ascii="Avenir Next LT Pro" w:hAnsi="Avenir Next LT Pro"/>
          <w:sz w:val="24"/>
          <w:szCs w:val="24"/>
        </w:rPr>
        <w:t>in cases of children who lack that capacity,</w:t>
      </w:r>
      <w:r w:rsidR="008D7757">
        <w:rPr>
          <w:rFonts w:ascii="Avenir Next LT Pro" w:hAnsi="Avenir Next LT Pro"/>
          <w:sz w:val="24"/>
          <w:szCs w:val="24"/>
        </w:rPr>
        <w:t xml:space="preserve"> are all crucial in quality control.</w:t>
      </w:r>
    </w:p>
    <w:p w14:paraId="5CF7D3D5" w14:textId="77777777" w:rsidR="001225AD" w:rsidRPr="008B121E" w:rsidRDefault="001225AD" w:rsidP="008B121E">
      <w:pPr>
        <w:jc w:val="both"/>
        <w:rPr>
          <w:rFonts w:ascii="Avenir Next LT Pro" w:hAnsi="Avenir Next LT Pro"/>
          <w:sz w:val="24"/>
          <w:szCs w:val="24"/>
        </w:rPr>
      </w:pPr>
    </w:p>
    <w:p w14:paraId="1048AC4F" w14:textId="77777777" w:rsidR="003E2353" w:rsidRDefault="003E2353" w:rsidP="00A63917">
      <w:pPr>
        <w:jc w:val="both"/>
        <w:rPr>
          <w:rFonts w:ascii="Avenir Next LT Pro" w:hAnsi="Avenir Next LT Pro"/>
          <w:sz w:val="24"/>
          <w:szCs w:val="24"/>
        </w:rPr>
      </w:pPr>
    </w:p>
    <w:p w14:paraId="5B9BBCFC" w14:textId="4988BF85" w:rsidR="003E2353" w:rsidRDefault="003E2353" w:rsidP="00A63917">
      <w:pPr>
        <w:jc w:val="both"/>
        <w:rPr>
          <w:rFonts w:ascii="Avenir Next LT Pro" w:hAnsi="Avenir Next LT Pro"/>
          <w:i/>
          <w:iCs/>
          <w:sz w:val="24"/>
          <w:szCs w:val="24"/>
        </w:rPr>
      </w:pPr>
      <w:r>
        <w:rPr>
          <w:rFonts w:ascii="Avenir Next LT Pro" w:hAnsi="Avenir Next LT Pro"/>
          <w:i/>
          <w:iCs/>
          <w:sz w:val="24"/>
          <w:szCs w:val="24"/>
        </w:rPr>
        <w:t>Conclusion</w:t>
      </w:r>
    </w:p>
    <w:p w14:paraId="05C77250" w14:textId="77777777" w:rsidR="003E2353" w:rsidRPr="003E2353" w:rsidRDefault="003E2353" w:rsidP="00A63917">
      <w:pPr>
        <w:jc w:val="both"/>
        <w:rPr>
          <w:rFonts w:ascii="Avenir Next LT Pro" w:hAnsi="Avenir Next LT Pro"/>
          <w:i/>
          <w:iCs/>
          <w:sz w:val="24"/>
          <w:szCs w:val="24"/>
        </w:rPr>
      </w:pPr>
    </w:p>
    <w:p w14:paraId="64EAC3B4" w14:textId="58ACB584" w:rsidR="00B8725A" w:rsidRPr="001F2FAD" w:rsidRDefault="008D7757" w:rsidP="00CC6DB7">
      <w:pPr>
        <w:jc w:val="both"/>
        <w:rPr>
          <w:rFonts w:ascii="Avenir Next LT Pro" w:hAnsi="Avenir Next LT Pro"/>
          <w:sz w:val="24"/>
          <w:szCs w:val="24"/>
        </w:rPr>
      </w:pPr>
      <w:r>
        <w:rPr>
          <w:rFonts w:ascii="Avenir Next LT Pro" w:hAnsi="Avenir Next LT Pro"/>
          <w:sz w:val="24"/>
          <w:szCs w:val="24"/>
        </w:rPr>
        <w:t xml:space="preserve">We thank Rep. </w:t>
      </w:r>
      <w:r w:rsidR="0015277D">
        <w:rPr>
          <w:rFonts w:ascii="Avenir Next LT Pro" w:hAnsi="Avenir Next LT Pro"/>
          <w:sz w:val="24"/>
          <w:szCs w:val="24"/>
        </w:rPr>
        <w:t xml:space="preserve">Murphy for sponsoring HB 2033 and </w:t>
      </w:r>
      <w:r w:rsidR="005C05BB">
        <w:rPr>
          <w:rFonts w:ascii="Avenir Next LT Pro" w:hAnsi="Avenir Next LT Pro"/>
          <w:sz w:val="24"/>
          <w:szCs w:val="24"/>
        </w:rPr>
        <w:t xml:space="preserve">members of the </w:t>
      </w:r>
      <w:r w:rsidR="0015277D">
        <w:rPr>
          <w:rFonts w:ascii="Avenir Next LT Pro" w:hAnsi="Avenir Next LT Pro"/>
          <w:sz w:val="24"/>
          <w:szCs w:val="24"/>
        </w:rPr>
        <w:t xml:space="preserve">committee </w:t>
      </w:r>
      <w:r w:rsidR="005C05BB">
        <w:rPr>
          <w:rFonts w:ascii="Avenir Next LT Pro" w:hAnsi="Avenir Next LT Pro"/>
          <w:sz w:val="24"/>
          <w:szCs w:val="24"/>
        </w:rPr>
        <w:t xml:space="preserve">for considering this important legislation. The Center is committed to protecting the rights of children and supporting the legislature, policymakers, and the courts ensure the children’s voices are heard and their rights are protected. </w:t>
      </w:r>
      <w:r w:rsidR="00CC6DB7">
        <w:rPr>
          <w:rFonts w:ascii="Avenir Next LT Pro" w:hAnsi="Avenir Next LT Pro"/>
          <w:sz w:val="24"/>
          <w:szCs w:val="24"/>
        </w:rPr>
        <w:t xml:space="preserve">We urge your support for HB 2033. </w:t>
      </w:r>
    </w:p>
    <w:p w14:paraId="3C5FA493" w14:textId="3C396462" w:rsidR="00D27061" w:rsidRPr="001F2FAD" w:rsidRDefault="00D27061" w:rsidP="00875B06">
      <w:pPr>
        <w:rPr>
          <w:rFonts w:ascii="Avenir Next LT Pro" w:hAnsi="Avenir Next LT Pro"/>
          <w:sz w:val="24"/>
          <w:szCs w:val="24"/>
        </w:rPr>
      </w:pPr>
    </w:p>
    <w:p w14:paraId="78C654A8" w14:textId="77777777" w:rsidR="00CC6DB7" w:rsidRDefault="00CC6DB7" w:rsidP="00CC6DB7">
      <w:pPr>
        <w:jc w:val="center"/>
        <w:rPr>
          <w:rFonts w:ascii="Avenir Next LT Pro" w:hAnsi="Avenir Next LT Pro"/>
          <w:b/>
          <w:bCs/>
          <w:sz w:val="24"/>
          <w:szCs w:val="24"/>
        </w:rPr>
      </w:pPr>
    </w:p>
    <w:p w14:paraId="0EA5F93D" w14:textId="77777777" w:rsidR="00CC6DB7" w:rsidRDefault="00CC6DB7" w:rsidP="00CC6DB7">
      <w:pPr>
        <w:jc w:val="center"/>
        <w:rPr>
          <w:rFonts w:ascii="Avenir Next LT Pro" w:hAnsi="Avenir Next LT Pro"/>
          <w:b/>
          <w:bCs/>
          <w:sz w:val="24"/>
          <w:szCs w:val="24"/>
        </w:rPr>
      </w:pPr>
    </w:p>
    <w:p w14:paraId="01E446B7" w14:textId="77777777" w:rsidR="00CC6DB7" w:rsidRDefault="00CC6DB7" w:rsidP="00CC6DB7">
      <w:pPr>
        <w:jc w:val="center"/>
        <w:rPr>
          <w:rFonts w:ascii="Avenir Next LT Pro" w:hAnsi="Avenir Next LT Pro"/>
          <w:b/>
          <w:bCs/>
          <w:sz w:val="24"/>
          <w:szCs w:val="24"/>
        </w:rPr>
      </w:pPr>
    </w:p>
    <w:p w14:paraId="2C9AF26B" w14:textId="77777777" w:rsidR="00CC6DB7" w:rsidRDefault="00CC6DB7" w:rsidP="00CC6DB7">
      <w:pPr>
        <w:jc w:val="center"/>
        <w:rPr>
          <w:rFonts w:ascii="Avenir Next LT Pro" w:hAnsi="Avenir Next LT Pro"/>
          <w:b/>
          <w:bCs/>
          <w:sz w:val="24"/>
          <w:szCs w:val="24"/>
        </w:rPr>
      </w:pPr>
    </w:p>
    <w:p w14:paraId="3602D99C" w14:textId="77777777" w:rsidR="00CC6DB7" w:rsidRDefault="00CC6DB7" w:rsidP="00CC6DB7">
      <w:pPr>
        <w:jc w:val="center"/>
        <w:rPr>
          <w:rFonts w:ascii="Avenir Next LT Pro" w:hAnsi="Avenir Next LT Pro"/>
          <w:b/>
          <w:bCs/>
          <w:sz w:val="24"/>
          <w:szCs w:val="24"/>
        </w:rPr>
      </w:pPr>
    </w:p>
    <w:p w14:paraId="40515208" w14:textId="77777777" w:rsidR="00CC6DB7" w:rsidRDefault="00CC6DB7" w:rsidP="00CC6DB7">
      <w:pPr>
        <w:jc w:val="center"/>
        <w:rPr>
          <w:rFonts w:ascii="Avenir Next LT Pro" w:hAnsi="Avenir Next LT Pro"/>
          <w:b/>
          <w:bCs/>
          <w:sz w:val="24"/>
          <w:szCs w:val="24"/>
        </w:rPr>
      </w:pPr>
    </w:p>
    <w:p w14:paraId="3B135EB5" w14:textId="77777777" w:rsidR="00CC6DB7" w:rsidRDefault="00CC6DB7" w:rsidP="00CC6DB7">
      <w:pPr>
        <w:jc w:val="center"/>
        <w:rPr>
          <w:rFonts w:ascii="Avenir Next LT Pro" w:hAnsi="Avenir Next LT Pro"/>
          <w:b/>
          <w:bCs/>
          <w:sz w:val="24"/>
          <w:szCs w:val="24"/>
        </w:rPr>
      </w:pPr>
    </w:p>
    <w:p w14:paraId="3825BCCC" w14:textId="77777777" w:rsidR="00CC6DB7" w:rsidRDefault="00CC6DB7">
      <w:pPr>
        <w:spacing w:after="160" w:line="259" w:lineRule="auto"/>
        <w:rPr>
          <w:rFonts w:ascii="Avenir Next LT Pro" w:hAnsi="Avenir Next LT Pro"/>
          <w:b/>
          <w:bCs/>
          <w:sz w:val="24"/>
          <w:szCs w:val="24"/>
        </w:rPr>
      </w:pPr>
      <w:r>
        <w:rPr>
          <w:rFonts w:ascii="Avenir Next LT Pro" w:hAnsi="Avenir Next LT Pro"/>
          <w:b/>
          <w:bCs/>
          <w:sz w:val="24"/>
          <w:szCs w:val="24"/>
        </w:rPr>
        <w:br w:type="page"/>
      </w:r>
    </w:p>
    <w:p w14:paraId="00CCDA4C" w14:textId="71251F11" w:rsidR="00D27061" w:rsidRPr="00CC6DB7" w:rsidRDefault="00365060" w:rsidP="007B425F">
      <w:pPr>
        <w:jc w:val="center"/>
        <w:rPr>
          <w:rFonts w:ascii="Avenir Next LT Pro" w:hAnsi="Avenir Next LT Pro"/>
          <w:b/>
          <w:bCs/>
          <w:sz w:val="24"/>
          <w:szCs w:val="24"/>
        </w:rPr>
      </w:pPr>
      <w:r w:rsidRPr="00CC6DB7">
        <w:rPr>
          <w:rFonts w:ascii="Avenir Next LT Pro" w:hAnsi="Avenir Next LT Pro"/>
          <w:b/>
          <w:bCs/>
          <w:sz w:val="24"/>
          <w:szCs w:val="24"/>
        </w:rPr>
        <w:lastRenderedPageBreak/>
        <w:t>Frequently Asked Questions</w:t>
      </w:r>
    </w:p>
    <w:p w14:paraId="5CA69B8A" w14:textId="77777777" w:rsidR="00AE4E3A" w:rsidRDefault="00AE4E3A" w:rsidP="007B425F">
      <w:pPr>
        <w:jc w:val="both"/>
        <w:rPr>
          <w:rFonts w:ascii="Avenir Next LT Pro" w:eastAsia="Times New Roman" w:hAnsi="Avenir Next LT Pro" w:cs="Times New Roman"/>
          <w:b/>
          <w:bCs/>
          <w:color w:val="000000"/>
          <w:sz w:val="24"/>
          <w:szCs w:val="24"/>
        </w:rPr>
      </w:pPr>
    </w:p>
    <w:p w14:paraId="70F06D72" w14:textId="6D7BAC58" w:rsidR="002B2F98" w:rsidRDefault="003E1301" w:rsidP="007B425F">
      <w:pPr>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b/>
          <w:bCs/>
          <w:color w:val="000000"/>
          <w:sz w:val="24"/>
          <w:szCs w:val="24"/>
        </w:rPr>
        <w:t xml:space="preserve">Will the switch to client-directed attorneys </w:t>
      </w:r>
      <w:r w:rsidR="002B2F98">
        <w:rPr>
          <w:rFonts w:ascii="Avenir Next LT Pro" w:eastAsia="Times New Roman" w:hAnsi="Avenir Next LT Pro" w:cs="Times New Roman"/>
          <w:b/>
          <w:bCs/>
          <w:color w:val="000000"/>
          <w:sz w:val="24"/>
          <w:szCs w:val="24"/>
        </w:rPr>
        <w:t>improve child representation?</w:t>
      </w:r>
    </w:p>
    <w:p w14:paraId="2ECC7A35" w14:textId="77777777" w:rsidR="00867C1A" w:rsidRDefault="002B2F98"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Yes. While we recognize that the same pool of attorney</w:t>
      </w:r>
      <w:r w:rsidR="00C928DB">
        <w:rPr>
          <w:rFonts w:ascii="Avenir Next LT Pro" w:eastAsia="Times New Roman" w:hAnsi="Avenir Next LT Pro" w:cs="Times New Roman"/>
          <w:color w:val="000000"/>
          <w:sz w:val="24"/>
          <w:szCs w:val="24"/>
        </w:rPr>
        <w:t xml:space="preserve">s </w:t>
      </w:r>
      <w:r w:rsidR="00C9029E">
        <w:rPr>
          <w:rFonts w:ascii="Avenir Next LT Pro" w:eastAsia="Times New Roman" w:hAnsi="Avenir Next LT Pro" w:cs="Times New Roman"/>
          <w:color w:val="000000"/>
          <w:sz w:val="24"/>
          <w:szCs w:val="24"/>
        </w:rPr>
        <w:t xml:space="preserve">currently serving as GALs </w:t>
      </w:r>
      <w:r w:rsidR="00C928DB">
        <w:rPr>
          <w:rFonts w:ascii="Avenir Next LT Pro" w:eastAsia="Times New Roman" w:hAnsi="Avenir Next LT Pro" w:cs="Times New Roman"/>
          <w:color w:val="000000"/>
          <w:sz w:val="24"/>
          <w:szCs w:val="24"/>
        </w:rPr>
        <w:t xml:space="preserve">will likely serve as </w:t>
      </w:r>
      <w:r w:rsidR="00847E00">
        <w:rPr>
          <w:rFonts w:ascii="Avenir Next LT Pro" w:eastAsia="Times New Roman" w:hAnsi="Avenir Next LT Pro" w:cs="Times New Roman"/>
          <w:color w:val="000000"/>
          <w:sz w:val="24"/>
          <w:szCs w:val="24"/>
        </w:rPr>
        <w:t xml:space="preserve">client-directed </w:t>
      </w:r>
      <w:r w:rsidR="00C9029E">
        <w:rPr>
          <w:rFonts w:ascii="Avenir Next LT Pro" w:eastAsia="Times New Roman" w:hAnsi="Avenir Next LT Pro" w:cs="Times New Roman"/>
          <w:color w:val="000000"/>
          <w:sz w:val="24"/>
          <w:szCs w:val="24"/>
        </w:rPr>
        <w:t>attorneys</w:t>
      </w:r>
      <w:r w:rsidR="00847E00">
        <w:rPr>
          <w:rFonts w:ascii="Avenir Next LT Pro" w:eastAsia="Times New Roman" w:hAnsi="Avenir Next LT Pro" w:cs="Times New Roman"/>
          <w:color w:val="000000"/>
          <w:sz w:val="24"/>
          <w:szCs w:val="24"/>
        </w:rPr>
        <w:t xml:space="preserve"> for children, as explained f</w:t>
      </w:r>
      <w:r w:rsidR="007E215A">
        <w:rPr>
          <w:rFonts w:ascii="Avenir Next LT Pro" w:eastAsia="Times New Roman" w:hAnsi="Avenir Next LT Pro" w:cs="Times New Roman"/>
          <w:color w:val="000000"/>
          <w:sz w:val="24"/>
          <w:szCs w:val="24"/>
        </w:rPr>
        <w:t xml:space="preserve">urther below, the subtle but significant difference between GALs and client-directed attorneys are the duties </w:t>
      </w:r>
      <w:r w:rsidR="007A30D0">
        <w:rPr>
          <w:rFonts w:ascii="Avenir Next LT Pro" w:eastAsia="Times New Roman" w:hAnsi="Avenir Next LT Pro" w:cs="Times New Roman"/>
          <w:color w:val="000000"/>
          <w:sz w:val="24"/>
          <w:szCs w:val="24"/>
        </w:rPr>
        <w:t>owed and to whom. A client-directed attorney must zealously represent the position of the child and protect the child-client’s rights</w:t>
      </w:r>
      <w:r w:rsidR="00822496">
        <w:rPr>
          <w:rFonts w:ascii="Avenir Next LT Pro" w:eastAsia="Times New Roman" w:hAnsi="Avenir Next LT Pro" w:cs="Times New Roman"/>
          <w:color w:val="000000"/>
          <w:sz w:val="24"/>
          <w:szCs w:val="24"/>
        </w:rPr>
        <w:t xml:space="preserve"> in court. Theoretically, this also could contemplate disciplinary action for lawyers who </w:t>
      </w:r>
      <w:r w:rsidR="00867C1A">
        <w:rPr>
          <w:rFonts w:ascii="Avenir Next LT Pro" w:eastAsia="Times New Roman" w:hAnsi="Avenir Next LT Pro" w:cs="Times New Roman"/>
          <w:color w:val="000000"/>
          <w:sz w:val="24"/>
          <w:szCs w:val="24"/>
        </w:rPr>
        <w:t>shirk their ethical duties.</w:t>
      </w:r>
    </w:p>
    <w:p w14:paraId="20E9AE8F" w14:textId="77777777" w:rsidR="00347C97" w:rsidRDefault="00347C97" w:rsidP="007B425F">
      <w:pPr>
        <w:jc w:val="both"/>
        <w:rPr>
          <w:rFonts w:ascii="Avenir Next LT Pro" w:eastAsia="Times New Roman" w:hAnsi="Avenir Next LT Pro" w:cs="Times New Roman"/>
          <w:color w:val="000000"/>
          <w:sz w:val="24"/>
          <w:szCs w:val="24"/>
        </w:rPr>
      </w:pPr>
    </w:p>
    <w:p w14:paraId="50D1D40B" w14:textId="02375CA4" w:rsidR="001A51F2" w:rsidRDefault="00867C1A"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Additionally, this bill contemplates crucial quality training. </w:t>
      </w:r>
      <w:r w:rsidR="00221015">
        <w:rPr>
          <w:rFonts w:ascii="Avenir Next LT Pro" w:eastAsia="Times New Roman" w:hAnsi="Avenir Next LT Pro" w:cs="Times New Roman"/>
          <w:color w:val="000000"/>
          <w:sz w:val="24"/>
          <w:szCs w:val="24"/>
        </w:rPr>
        <w:t xml:space="preserve">In a multi-year study, researchers found that lawyers </w:t>
      </w:r>
      <w:r w:rsidR="00DE0FD6">
        <w:rPr>
          <w:rFonts w:ascii="Avenir Next LT Pro" w:eastAsia="Times New Roman" w:hAnsi="Avenir Next LT Pro" w:cs="Times New Roman"/>
          <w:color w:val="000000"/>
          <w:sz w:val="24"/>
          <w:szCs w:val="24"/>
        </w:rPr>
        <w:t xml:space="preserve">who were trained in a quality representation regime and received regular </w:t>
      </w:r>
      <w:proofErr w:type="gramStart"/>
      <w:r w:rsidR="00DE0FD6">
        <w:rPr>
          <w:rFonts w:ascii="Avenir Next LT Pro" w:eastAsia="Times New Roman" w:hAnsi="Avenir Next LT Pro" w:cs="Times New Roman"/>
          <w:color w:val="000000"/>
          <w:sz w:val="24"/>
          <w:szCs w:val="24"/>
        </w:rPr>
        <w:t>follow-up</w:t>
      </w:r>
      <w:proofErr w:type="gramEnd"/>
      <w:r w:rsidR="00DE0FD6">
        <w:rPr>
          <w:rFonts w:ascii="Avenir Next LT Pro" w:eastAsia="Times New Roman" w:hAnsi="Avenir Next LT Pro" w:cs="Times New Roman"/>
          <w:color w:val="000000"/>
          <w:sz w:val="24"/>
          <w:szCs w:val="24"/>
        </w:rPr>
        <w:t xml:space="preserve"> </w:t>
      </w:r>
    </w:p>
    <w:p w14:paraId="3123F4A5" w14:textId="691E4F40" w:rsidR="00FA42A9" w:rsidRDefault="001A51F2" w:rsidP="007B425F">
      <w:pPr>
        <w:ind w:left="720" w:right="720"/>
        <w:jc w:val="both"/>
        <w:rPr>
          <w:rFonts w:ascii="Avenir Next LT Pro" w:eastAsia="Times New Roman" w:hAnsi="Avenir Next LT Pro" w:cs="Times New Roman"/>
          <w:i/>
          <w:iCs/>
          <w:color w:val="000000"/>
          <w:sz w:val="24"/>
          <w:szCs w:val="24"/>
        </w:rPr>
      </w:pPr>
      <w:r w:rsidRPr="00FA42A9">
        <w:rPr>
          <w:rFonts w:ascii="Avenir Next LT Pro" w:eastAsia="Times New Roman" w:hAnsi="Avenir Next LT Pro" w:cs="Times New Roman"/>
          <w:i/>
          <w:iCs/>
          <w:color w:val="000000"/>
          <w:sz w:val="24"/>
          <w:szCs w:val="24"/>
        </w:rPr>
        <w:t>initiated more contact with the children they represented, created more discussion and collaboration with other players in the system, did more problem-solving, advocated for more services, and spent more time influencing the case plan and developing a theory of the case. Importantly, these different behaviors improved the child outcomes.</w:t>
      </w:r>
      <w:r w:rsidR="00FA42A9">
        <w:rPr>
          <w:rStyle w:val="FootnoteReference"/>
          <w:rFonts w:ascii="Avenir Next LT Pro" w:eastAsia="Times New Roman" w:hAnsi="Avenir Next LT Pro" w:cs="Times New Roman"/>
          <w:i/>
          <w:iCs/>
          <w:color w:val="000000"/>
          <w:sz w:val="24"/>
          <w:szCs w:val="24"/>
        </w:rPr>
        <w:footnoteReference w:id="5"/>
      </w:r>
      <w:r w:rsidRPr="00FA42A9">
        <w:rPr>
          <w:rFonts w:ascii="Avenir Next LT Pro" w:eastAsia="Times New Roman" w:hAnsi="Avenir Next LT Pro" w:cs="Times New Roman"/>
          <w:i/>
          <w:iCs/>
          <w:color w:val="000000"/>
          <w:sz w:val="24"/>
          <w:szCs w:val="24"/>
        </w:rPr>
        <w:t xml:space="preserve"> </w:t>
      </w:r>
    </w:p>
    <w:p w14:paraId="3B74BE6E" w14:textId="77777777" w:rsidR="00347C97" w:rsidRDefault="00347C97" w:rsidP="007B425F">
      <w:pPr>
        <w:ind w:right="720"/>
        <w:jc w:val="both"/>
        <w:rPr>
          <w:rFonts w:ascii="Avenir Next LT Pro" w:eastAsia="Times New Roman" w:hAnsi="Avenir Next LT Pro" w:cs="Times New Roman"/>
          <w:color w:val="000000"/>
          <w:sz w:val="24"/>
          <w:szCs w:val="24"/>
        </w:rPr>
      </w:pPr>
    </w:p>
    <w:p w14:paraId="156ED815" w14:textId="3FDA7985" w:rsidR="00493A9E" w:rsidRPr="00493A9E" w:rsidRDefault="005C5F6C" w:rsidP="007B425F">
      <w:pPr>
        <w:ind w:right="720"/>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color w:val="000000"/>
          <w:sz w:val="24"/>
          <w:szCs w:val="24"/>
        </w:rPr>
        <w:t xml:space="preserve">Improved </w:t>
      </w:r>
      <w:r w:rsidR="00493A9E">
        <w:rPr>
          <w:rFonts w:ascii="Avenir Next LT Pro" w:eastAsia="Times New Roman" w:hAnsi="Avenir Next LT Pro" w:cs="Times New Roman"/>
          <w:color w:val="000000"/>
          <w:sz w:val="24"/>
          <w:szCs w:val="24"/>
        </w:rPr>
        <w:t>outcomes</w:t>
      </w:r>
      <w:r>
        <w:rPr>
          <w:rFonts w:ascii="Avenir Next LT Pro" w:eastAsia="Times New Roman" w:hAnsi="Avenir Next LT Pro" w:cs="Times New Roman"/>
          <w:color w:val="000000"/>
          <w:sz w:val="24"/>
          <w:szCs w:val="24"/>
        </w:rPr>
        <w:t xml:space="preserve"> include</w:t>
      </w:r>
      <w:r w:rsidR="00493A9E">
        <w:rPr>
          <w:rFonts w:ascii="Avenir Next LT Pro" w:eastAsia="Times New Roman" w:hAnsi="Avenir Next LT Pro" w:cs="Times New Roman"/>
          <w:color w:val="000000"/>
          <w:sz w:val="24"/>
          <w:szCs w:val="24"/>
        </w:rPr>
        <w:t>d e</w:t>
      </w:r>
      <w:r w:rsidRPr="00493A9E">
        <w:rPr>
          <w:rFonts w:ascii="Avenir Next LT Pro" w:eastAsia="Times New Roman" w:hAnsi="Avenir Next LT Pro" w:cs="Times New Roman"/>
          <w:color w:val="000000"/>
          <w:sz w:val="24"/>
          <w:szCs w:val="24"/>
        </w:rPr>
        <w:t xml:space="preserve">xiting the </w:t>
      </w:r>
      <w:r w:rsidR="00E40757" w:rsidRPr="00493A9E">
        <w:rPr>
          <w:rFonts w:ascii="Avenir Next LT Pro" w:eastAsia="Times New Roman" w:hAnsi="Avenir Next LT Pro" w:cs="Times New Roman"/>
          <w:color w:val="000000"/>
          <w:sz w:val="24"/>
          <w:szCs w:val="24"/>
        </w:rPr>
        <w:t xml:space="preserve">system more quickly </w:t>
      </w:r>
      <w:r w:rsidR="008D6F6B" w:rsidRPr="00493A9E">
        <w:rPr>
          <w:rFonts w:ascii="Avenir Next LT Pro" w:eastAsia="Times New Roman" w:hAnsi="Avenir Next LT Pro" w:cs="Times New Roman"/>
          <w:color w:val="000000"/>
          <w:sz w:val="24"/>
          <w:szCs w:val="24"/>
        </w:rPr>
        <w:t>(</w:t>
      </w:r>
      <w:r w:rsidR="00493A9E">
        <w:rPr>
          <w:rFonts w:ascii="Avenir Next LT Pro" w:eastAsia="Times New Roman" w:hAnsi="Avenir Next LT Pro" w:cs="Times New Roman"/>
          <w:color w:val="000000"/>
          <w:sz w:val="24"/>
          <w:szCs w:val="24"/>
        </w:rPr>
        <w:t xml:space="preserve">trained </w:t>
      </w:r>
      <w:r w:rsidR="00215824">
        <w:rPr>
          <w:rFonts w:ascii="Avenir Next LT Pro" w:eastAsia="Times New Roman" w:hAnsi="Avenir Next LT Pro" w:cs="Times New Roman"/>
          <w:color w:val="000000"/>
          <w:sz w:val="24"/>
          <w:szCs w:val="24"/>
        </w:rPr>
        <w:t xml:space="preserve">attorneys made children </w:t>
      </w:r>
      <w:r w:rsidR="00493A9E">
        <w:rPr>
          <w:rFonts w:ascii="Avenir Next LT Pro" w:eastAsia="Times New Roman" w:hAnsi="Avenir Next LT Pro" w:cs="Times New Roman"/>
          <w:color w:val="000000"/>
          <w:sz w:val="24"/>
          <w:szCs w:val="24"/>
        </w:rPr>
        <w:t xml:space="preserve">20 to </w:t>
      </w:r>
      <w:r w:rsidR="001A51F2" w:rsidRPr="00215824">
        <w:rPr>
          <w:rFonts w:ascii="Avenir Next LT Pro" w:eastAsia="Times New Roman" w:hAnsi="Avenir Next LT Pro" w:cs="Times New Roman"/>
          <w:color w:val="000000"/>
          <w:sz w:val="24"/>
          <w:szCs w:val="24"/>
        </w:rPr>
        <w:t>40</w:t>
      </w:r>
      <w:r w:rsidR="001A51F2" w:rsidRPr="00493A9E">
        <w:rPr>
          <w:rFonts w:ascii="Avenir Next LT Pro" w:eastAsia="Times New Roman" w:hAnsi="Avenir Next LT Pro" w:cs="Times New Roman"/>
          <w:i/>
          <w:iCs/>
          <w:color w:val="000000"/>
          <w:sz w:val="24"/>
          <w:szCs w:val="24"/>
        </w:rPr>
        <w:t xml:space="preserve"> </w:t>
      </w:r>
      <w:r w:rsidR="001A51F2" w:rsidRPr="00215824">
        <w:rPr>
          <w:rFonts w:ascii="Avenir Next LT Pro" w:eastAsia="Times New Roman" w:hAnsi="Avenir Next LT Pro" w:cs="Times New Roman"/>
          <w:color w:val="000000"/>
          <w:sz w:val="24"/>
          <w:szCs w:val="24"/>
        </w:rPr>
        <w:t>percent more likely to achieve permanency within six months</w:t>
      </w:r>
      <w:r w:rsidR="00215824">
        <w:rPr>
          <w:rFonts w:ascii="Avenir Next LT Pro" w:eastAsia="Times New Roman" w:hAnsi="Avenir Next LT Pro" w:cs="Times New Roman"/>
          <w:color w:val="000000"/>
          <w:sz w:val="24"/>
          <w:szCs w:val="24"/>
        </w:rPr>
        <w:t>).</w:t>
      </w:r>
      <w:r w:rsidR="00215824">
        <w:rPr>
          <w:rStyle w:val="FootnoteReference"/>
          <w:rFonts w:ascii="Avenir Next LT Pro" w:eastAsia="Times New Roman" w:hAnsi="Avenir Next LT Pro" w:cs="Times New Roman"/>
          <w:color w:val="000000"/>
          <w:sz w:val="24"/>
          <w:szCs w:val="24"/>
        </w:rPr>
        <w:footnoteReference w:id="6"/>
      </w:r>
    </w:p>
    <w:p w14:paraId="2AD732DC" w14:textId="77777777" w:rsidR="00493A9E" w:rsidRDefault="00493A9E" w:rsidP="007B425F">
      <w:pPr>
        <w:ind w:right="720"/>
        <w:jc w:val="both"/>
        <w:rPr>
          <w:rFonts w:ascii="Avenir Next LT Pro" w:eastAsia="Times New Roman" w:hAnsi="Avenir Next LT Pro" w:cs="Times New Roman"/>
          <w:b/>
          <w:bCs/>
          <w:color w:val="000000"/>
          <w:sz w:val="24"/>
          <w:szCs w:val="24"/>
        </w:rPr>
      </w:pPr>
    </w:p>
    <w:p w14:paraId="6D774C53" w14:textId="4FD12160" w:rsidR="002B2F98" w:rsidRPr="00493A9E" w:rsidRDefault="007C7CE7" w:rsidP="007B425F">
      <w:pPr>
        <w:ind w:right="720"/>
        <w:jc w:val="both"/>
        <w:rPr>
          <w:rFonts w:ascii="Avenir Next LT Pro" w:eastAsia="Times New Roman" w:hAnsi="Avenir Next LT Pro" w:cs="Times New Roman"/>
          <w:b/>
          <w:bCs/>
          <w:color w:val="000000"/>
          <w:sz w:val="24"/>
          <w:szCs w:val="24"/>
        </w:rPr>
      </w:pPr>
      <w:r w:rsidRPr="00493A9E">
        <w:rPr>
          <w:rFonts w:ascii="Avenir Next LT Pro" w:eastAsia="Times New Roman" w:hAnsi="Avenir Next LT Pro" w:cs="Times New Roman"/>
          <w:b/>
          <w:bCs/>
          <w:color w:val="000000"/>
          <w:sz w:val="24"/>
          <w:szCs w:val="24"/>
        </w:rPr>
        <w:t xml:space="preserve">What could </w:t>
      </w:r>
      <w:r w:rsidR="008B64F1">
        <w:rPr>
          <w:rFonts w:ascii="Avenir Next LT Pro" w:eastAsia="Times New Roman" w:hAnsi="Avenir Next LT Pro" w:cs="Times New Roman"/>
          <w:b/>
          <w:bCs/>
          <w:color w:val="000000"/>
          <w:sz w:val="24"/>
          <w:szCs w:val="24"/>
        </w:rPr>
        <w:t xml:space="preserve">quality </w:t>
      </w:r>
      <w:r w:rsidRPr="00493A9E">
        <w:rPr>
          <w:rFonts w:ascii="Avenir Next LT Pro" w:eastAsia="Times New Roman" w:hAnsi="Avenir Next LT Pro" w:cs="Times New Roman"/>
          <w:b/>
          <w:bCs/>
          <w:color w:val="000000"/>
          <w:sz w:val="24"/>
          <w:szCs w:val="24"/>
        </w:rPr>
        <w:t xml:space="preserve">training </w:t>
      </w:r>
      <w:r w:rsidR="008B64F1">
        <w:rPr>
          <w:rFonts w:ascii="Avenir Next LT Pro" w:eastAsia="Times New Roman" w:hAnsi="Avenir Next LT Pro" w:cs="Times New Roman"/>
          <w:b/>
          <w:bCs/>
          <w:color w:val="000000"/>
          <w:sz w:val="24"/>
          <w:szCs w:val="24"/>
        </w:rPr>
        <w:t>include</w:t>
      </w:r>
      <w:r w:rsidRPr="00493A9E">
        <w:rPr>
          <w:rFonts w:ascii="Avenir Next LT Pro" w:eastAsia="Times New Roman" w:hAnsi="Avenir Next LT Pro" w:cs="Times New Roman"/>
          <w:b/>
          <w:bCs/>
          <w:color w:val="000000"/>
          <w:sz w:val="24"/>
          <w:szCs w:val="24"/>
        </w:rPr>
        <w:t>?</w:t>
      </w:r>
    </w:p>
    <w:p w14:paraId="1354DF65" w14:textId="77777777" w:rsidR="00053E39" w:rsidRDefault="007C7CE7"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The model of training studied </w:t>
      </w:r>
      <w:r w:rsidR="0048459C">
        <w:rPr>
          <w:rFonts w:ascii="Avenir Next LT Pro" w:eastAsia="Times New Roman" w:hAnsi="Avenir Next LT Pro" w:cs="Times New Roman"/>
          <w:color w:val="000000"/>
          <w:sz w:val="24"/>
          <w:szCs w:val="24"/>
        </w:rPr>
        <w:t xml:space="preserve">by the University of Michigan, called </w:t>
      </w:r>
      <w:r w:rsidR="0048459C">
        <w:rPr>
          <w:rFonts w:ascii="Avenir Next LT Pro" w:eastAsia="Times New Roman" w:hAnsi="Avenir Next LT Pro" w:cs="Times New Roman"/>
          <w:i/>
          <w:iCs/>
          <w:color w:val="000000"/>
          <w:sz w:val="24"/>
          <w:szCs w:val="24"/>
        </w:rPr>
        <w:t>QIC-</w:t>
      </w:r>
      <w:proofErr w:type="spellStart"/>
      <w:r w:rsidR="0048459C">
        <w:rPr>
          <w:rFonts w:ascii="Avenir Next LT Pro" w:eastAsia="Times New Roman" w:hAnsi="Avenir Next LT Pro" w:cs="Times New Roman"/>
          <w:i/>
          <w:iCs/>
          <w:color w:val="000000"/>
          <w:sz w:val="24"/>
          <w:szCs w:val="24"/>
        </w:rPr>
        <w:t>Childrep</w:t>
      </w:r>
      <w:proofErr w:type="spellEnd"/>
      <w:r w:rsidR="0048459C">
        <w:rPr>
          <w:rFonts w:ascii="Avenir Next LT Pro" w:eastAsia="Times New Roman" w:hAnsi="Avenir Next LT Pro" w:cs="Times New Roman"/>
          <w:color w:val="000000"/>
          <w:sz w:val="24"/>
          <w:szCs w:val="24"/>
        </w:rPr>
        <w:t xml:space="preserve">, focused on six </w:t>
      </w:r>
      <w:r w:rsidR="00053E39">
        <w:rPr>
          <w:rFonts w:ascii="Avenir Next LT Pro" w:eastAsia="Times New Roman" w:hAnsi="Avenir Next LT Pro" w:cs="Times New Roman"/>
          <w:color w:val="000000"/>
          <w:sz w:val="24"/>
          <w:szCs w:val="24"/>
        </w:rPr>
        <w:t>core skills:</w:t>
      </w:r>
    </w:p>
    <w:p w14:paraId="56BDA717" w14:textId="0CE48DCC" w:rsidR="00053E39" w:rsidRPr="008B64F1" w:rsidRDefault="00053E39" w:rsidP="007B425F">
      <w:pPr>
        <w:pStyle w:val="ListParagraph"/>
        <w:numPr>
          <w:ilvl w:val="0"/>
          <w:numId w:val="11"/>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Enter the Child's World: Engage with the child, learn their needs, guide them, counsel</w:t>
      </w:r>
      <w:r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them and advocate for their needs while accommodating their stated interests consistent</w:t>
      </w:r>
      <w:r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with state law.</w:t>
      </w:r>
    </w:p>
    <w:p w14:paraId="310AC3C8" w14:textId="7D23A86C" w:rsidR="00053E39" w:rsidRPr="008B64F1" w:rsidRDefault="00053E39" w:rsidP="007B425F">
      <w:pPr>
        <w:pStyle w:val="ListParagraph"/>
        <w:numPr>
          <w:ilvl w:val="0"/>
          <w:numId w:val="11"/>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 xml:space="preserve">Assess child safety and protect the child but without </w:t>
      </w:r>
      <w:proofErr w:type="gramStart"/>
      <w:r w:rsidRPr="008B64F1">
        <w:rPr>
          <w:rFonts w:ascii="Avenir Next LT Pro" w:eastAsia="Times New Roman" w:hAnsi="Avenir Next LT Pro" w:cs="Times New Roman"/>
          <w:i/>
          <w:iCs/>
          <w:color w:val="000000"/>
          <w:sz w:val="24"/>
          <w:szCs w:val="24"/>
        </w:rPr>
        <w:t>over-reacting</w:t>
      </w:r>
      <w:proofErr w:type="gramEnd"/>
      <w:r w:rsidRPr="008B64F1">
        <w:rPr>
          <w:rFonts w:ascii="Avenir Next LT Pro" w:eastAsia="Times New Roman" w:hAnsi="Avenir Next LT Pro" w:cs="Times New Roman"/>
          <w:i/>
          <w:iCs/>
          <w:color w:val="000000"/>
          <w:sz w:val="24"/>
          <w:szCs w:val="24"/>
        </w:rPr>
        <w:t>. “Remove the danger,</w:t>
      </w:r>
      <w:r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not the child”, whenever that can be done consistent with child safety. Distinguish</w:t>
      </w:r>
      <w:r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between case plan and safety plan.</w:t>
      </w:r>
    </w:p>
    <w:p w14:paraId="41F724D5" w14:textId="2B88B197" w:rsidR="00053E39" w:rsidRPr="008B64F1" w:rsidRDefault="00053E39" w:rsidP="007B425F">
      <w:pPr>
        <w:pStyle w:val="ListParagraph"/>
        <w:numPr>
          <w:ilvl w:val="0"/>
          <w:numId w:val="11"/>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Actively Evaluate Needs: Facilitate an appropriate assessment of the needs of the child</w:t>
      </w:r>
      <w:r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and his/her family. Diagnose the problem.</w:t>
      </w:r>
    </w:p>
    <w:p w14:paraId="414CC8BC" w14:textId="29A391B6" w:rsidR="00053E39" w:rsidRPr="008B64F1" w:rsidRDefault="00053E39" w:rsidP="007B425F">
      <w:pPr>
        <w:pStyle w:val="ListParagraph"/>
        <w:numPr>
          <w:ilvl w:val="0"/>
          <w:numId w:val="11"/>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Advance Case Planning: Facilitate development of an appropriate case plan.</w:t>
      </w:r>
    </w:p>
    <w:p w14:paraId="79F44D15" w14:textId="06F0A698" w:rsidR="00053E39" w:rsidRPr="008B64F1" w:rsidRDefault="00053E39" w:rsidP="007B425F">
      <w:pPr>
        <w:pStyle w:val="ListParagraph"/>
        <w:numPr>
          <w:ilvl w:val="0"/>
          <w:numId w:val="11"/>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Develop Case Theory: Develop an active and forward-looking theory of the case. What</w:t>
      </w:r>
      <w:r w:rsidR="000D491A"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 xml:space="preserve">is going on here? Adopt, and maybe rule-out, </w:t>
      </w:r>
      <w:proofErr w:type="gramStart"/>
      <w:r w:rsidRPr="008B64F1">
        <w:rPr>
          <w:rFonts w:ascii="Avenir Next LT Pro" w:eastAsia="Times New Roman" w:hAnsi="Avenir Next LT Pro" w:cs="Times New Roman"/>
          <w:i/>
          <w:iCs/>
          <w:color w:val="000000"/>
          <w:sz w:val="24"/>
          <w:szCs w:val="24"/>
        </w:rPr>
        <w:t>alternative</w:t>
      </w:r>
      <w:proofErr w:type="gramEnd"/>
      <w:r w:rsidRPr="008B64F1">
        <w:rPr>
          <w:rFonts w:ascii="Avenir Next LT Pro" w:eastAsia="Times New Roman" w:hAnsi="Avenir Next LT Pro" w:cs="Times New Roman"/>
          <w:i/>
          <w:iCs/>
          <w:color w:val="000000"/>
          <w:sz w:val="24"/>
          <w:szCs w:val="24"/>
        </w:rPr>
        <w:t xml:space="preserve"> and tentative </w:t>
      </w:r>
      <w:r w:rsidRPr="008B64F1">
        <w:rPr>
          <w:rFonts w:ascii="Avenir Next LT Pro" w:eastAsia="Times New Roman" w:hAnsi="Avenir Next LT Pro" w:cs="Times New Roman"/>
          <w:i/>
          <w:iCs/>
          <w:color w:val="000000"/>
          <w:sz w:val="24"/>
          <w:szCs w:val="24"/>
        </w:rPr>
        <w:lastRenderedPageBreak/>
        <w:t>theories of the</w:t>
      </w:r>
      <w:r w:rsidR="000D491A"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case. Provides force and direction to the advocacy. (Drive the bus.).</w:t>
      </w:r>
    </w:p>
    <w:p w14:paraId="742CF206" w14:textId="5F473109" w:rsidR="007C7CE7" w:rsidRPr="000D491A" w:rsidRDefault="00053E39" w:rsidP="007B425F">
      <w:pPr>
        <w:pStyle w:val="ListParagraph"/>
        <w:numPr>
          <w:ilvl w:val="0"/>
          <w:numId w:val="11"/>
        </w:numPr>
        <w:jc w:val="both"/>
        <w:rPr>
          <w:rFonts w:ascii="Avenir Next LT Pro" w:eastAsia="Times New Roman" w:hAnsi="Avenir Next LT Pro" w:cs="Times New Roman"/>
          <w:b/>
          <w:bCs/>
          <w:color w:val="000000"/>
          <w:sz w:val="24"/>
          <w:szCs w:val="24"/>
        </w:rPr>
      </w:pPr>
      <w:r w:rsidRPr="008B64F1">
        <w:rPr>
          <w:rFonts w:ascii="Avenir Next LT Pro" w:eastAsia="Times New Roman" w:hAnsi="Avenir Next LT Pro" w:cs="Times New Roman"/>
          <w:i/>
          <w:iCs/>
          <w:color w:val="000000"/>
          <w:sz w:val="24"/>
          <w:szCs w:val="24"/>
        </w:rPr>
        <w:t>Advocate Effectively: Use advocacy corollaries in meeting a child's needs that stress</w:t>
      </w:r>
      <w:r w:rsidR="000D491A"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problem-solving and non-adversarial approaches - but which include traditional</w:t>
      </w:r>
      <w:r w:rsidR="000D491A" w:rsidRPr="008B64F1">
        <w:rPr>
          <w:rFonts w:ascii="Avenir Next LT Pro" w:eastAsia="Times New Roman" w:hAnsi="Avenir Next LT Pro" w:cs="Times New Roman"/>
          <w:i/>
          <w:iCs/>
          <w:color w:val="000000"/>
          <w:sz w:val="24"/>
          <w:szCs w:val="24"/>
        </w:rPr>
        <w:t xml:space="preserve"> </w:t>
      </w:r>
      <w:r w:rsidRPr="008B64F1">
        <w:rPr>
          <w:rFonts w:ascii="Avenir Next LT Pro" w:eastAsia="Times New Roman" w:hAnsi="Avenir Next LT Pro" w:cs="Times New Roman"/>
          <w:i/>
          <w:iCs/>
          <w:color w:val="000000"/>
          <w:sz w:val="24"/>
          <w:szCs w:val="24"/>
        </w:rPr>
        <w:t>adversarial modes when appropriate.</w:t>
      </w:r>
      <w:r w:rsidR="00215824">
        <w:rPr>
          <w:rStyle w:val="FootnoteReference"/>
          <w:rFonts w:ascii="Avenir Next LT Pro" w:eastAsia="Times New Roman" w:hAnsi="Avenir Next LT Pro" w:cs="Times New Roman"/>
          <w:color w:val="000000"/>
          <w:sz w:val="24"/>
          <w:szCs w:val="24"/>
        </w:rPr>
        <w:footnoteReference w:id="7"/>
      </w:r>
      <w:r w:rsidRPr="000D491A">
        <w:rPr>
          <w:rFonts w:ascii="Avenir Next LT Pro" w:eastAsia="Times New Roman" w:hAnsi="Avenir Next LT Pro" w:cs="Times New Roman"/>
          <w:color w:val="000000"/>
          <w:sz w:val="24"/>
          <w:szCs w:val="24"/>
        </w:rPr>
        <w:cr/>
      </w:r>
    </w:p>
    <w:p w14:paraId="5652321F" w14:textId="2966F2A4" w:rsidR="00F64151" w:rsidRPr="00F64151" w:rsidRDefault="00F64151" w:rsidP="007B425F">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What is the role of a GAL?</w:t>
      </w:r>
    </w:p>
    <w:p w14:paraId="2A59B637" w14:textId="77777777"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Missouri has employed guardians ad litem (GAL) with the understanding that the GAL’s “principal allegiance is to the court” and that “although the best interests of the child are always paramount, the guardian's relationship to the child is not strictly that of attorney and client.”</w:t>
      </w:r>
      <w:r w:rsidRPr="00F64151">
        <w:rPr>
          <w:rFonts w:ascii="Avenir Next LT Pro" w:eastAsia="Times New Roman" w:hAnsi="Avenir Next LT Pro" w:cs="Times New Roman"/>
          <w:color w:val="000000"/>
          <w:sz w:val="24"/>
          <w:szCs w:val="24"/>
          <w:vertAlign w:val="superscript"/>
        </w:rPr>
        <w:footnoteReference w:id="8"/>
      </w:r>
      <w:r w:rsidRPr="00F64151">
        <w:rPr>
          <w:rFonts w:ascii="Avenir Next LT Pro" w:eastAsia="Times New Roman" w:hAnsi="Avenir Next LT Pro" w:cs="Times New Roman"/>
          <w:color w:val="000000"/>
          <w:sz w:val="24"/>
          <w:szCs w:val="24"/>
        </w:rPr>
        <w:t xml:space="preserve"> In this traditional view, the GAL carries the imperative to “investigate and present its perspective to the trial judge, thereby enabling the court to render a decision in accordance with the statutory standard of ‘best interests of the child.’”</w:t>
      </w:r>
      <w:r w:rsidRPr="00F64151">
        <w:rPr>
          <w:rFonts w:ascii="Avenir Next LT Pro" w:eastAsia="Times New Roman" w:hAnsi="Avenir Next LT Pro" w:cs="Times New Roman"/>
          <w:color w:val="000000"/>
          <w:sz w:val="24"/>
          <w:szCs w:val="24"/>
          <w:vertAlign w:val="superscript"/>
        </w:rPr>
        <w:footnoteReference w:id="9"/>
      </w:r>
    </w:p>
    <w:p w14:paraId="6FA8A16B" w14:textId="77777777" w:rsidR="00347C97" w:rsidRDefault="00347C97" w:rsidP="007B425F">
      <w:pPr>
        <w:jc w:val="both"/>
        <w:rPr>
          <w:rFonts w:ascii="Avenir Next LT Pro" w:eastAsia="Calibri" w:hAnsi="Avenir Next LT Pro" w:cs="Times New Roman"/>
        </w:rPr>
      </w:pPr>
    </w:p>
    <w:p w14:paraId="4EB0257C" w14:textId="08BA5702"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Calibri" w:hAnsi="Avenir Next LT Pro" w:cs="Times New Roman"/>
          <w:sz w:val="24"/>
          <w:szCs w:val="24"/>
        </w:rPr>
        <w:t>According to Missouri’s</w:t>
      </w:r>
      <w:r w:rsidRPr="00F64151">
        <w:rPr>
          <w:rFonts w:ascii="Avenir Next LT Pro" w:eastAsia="Calibri" w:hAnsi="Avenir Next LT Pro" w:cs="Times New Roman"/>
        </w:rPr>
        <w:t xml:space="preserve"> </w:t>
      </w:r>
      <w:hyperlink r:id="rId11" w:history="1">
        <w:r w:rsidRPr="00F64151">
          <w:rPr>
            <w:rFonts w:ascii="Avenir Next LT Pro" w:eastAsia="Times New Roman" w:hAnsi="Avenir Next LT Pro" w:cs="Times New Roman"/>
            <w:color w:val="0563C1"/>
            <w:sz w:val="24"/>
            <w:szCs w:val="24"/>
            <w:u w:val="single"/>
          </w:rPr>
          <w:t>Standards with Comments for Guardians ad Litem in Missouri Juvenile and Family Court Division Matters</w:t>
        </w:r>
      </w:hyperlink>
      <w:r w:rsidRPr="00F64151">
        <w:rPr>
          <w:rFonts w:ascii="Avenir Next LT Pro" w:eastAsia="Times New Roman" w:hAnsi="Avenir Next LT Pro" w:cs="Times New Roman"/>
          <w:color w:val="0563C1"/>
          <w:sz w:val="24"/>
          <w:szCs w:val="24"/>
          <w:u w:val="single"/>
        </w:rPr>
        <w:t>:</w:t>
      </w:r>
    </w:p>
    <w:p w14:paraId="569AE727"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The GAL is always guided by the GAL’s belief regarding he best interests of the child.</w:t>
      </w:r>
      <w:r w:rsidRPr="00F64151">
        <w:rPr>
          <w:rFonts w:ascii="Avenir Next LT Pro" w:eastAsia="Times New Roman" w:hAnsi="Avenir Next LT Pro" w:cs="Times New Roman"/>
          <w:color w:val="000000"/>
          <w:sz w:val="24"/>
          <w:szCs w:val="24"/>
          <w:vertAlign w:val="superscript"/>
        </w:rPr>
        <w:footnoteReference w:id="10"/>
      </w:r>
      <w:r w:rsidRPr="00F64151">
        <w:rPr>
          <w:rFonts w:ascii="Avenir Next LT Pro" w:eastAsia="Times New Roman" w:hAnsi="Avenir Next LT Pro" w:cs="Times New Roman"/>
          <w:color w:val="000000"/>
          <w:sz w:val="24"/>
          <w:szCs w:val="24"/>
        </w:rPr>
        <w:t xml:space="preserve"> The comments to GAL standards clarify, “The roles of a guardian ad litem and a lawyer for the child are different and must be clearly distinguished. </w:t>
      </w:r>
      <w:proofErr w:type="gramStart"/>
      <w:r w:rsidRPr="00F64151">
        <w:rPr>
          <w:rFonts w:ascii="Avenir Next LT Pro" w:eastAsia="Times New Roman" w:hAnsi="Avenir Next LT Pro" w:cs="Times New Roman"/>
          <w:color w:val="000000"/>
          <w:sz w:val="24"/>
          <w:szCs w:val="24"/>
        </w:rPr>
        <w:t>A lawyer guardian ad litem</w:t>
      </w:r>
      <w:proofErr w:type="gramEnd"/>
      <w:r w:rsidRPr="00F64151">
        <w:rPr>
          <w:rFonts w:ascii="Avenir Next LT Pro" w:eastAsia="Times New Roman" w:hAnsi="Avenir Next LT Pro" w:cs="Times New Roman"/>
          <w:color w:val="000000"/>
          <w:sz w:val="24"/>
          <w:szCs w:val="24"/>
        </w:rPr>
        <w:t xml:space="preserve"> is not the lawyer for the child and, therefore, advocates the best interests of the child rather than merely representing the child's preferences.”</w:t>
      </w:r>
      <w:r w:rsidRPr="00F64151">
        <w:rPr>
          <w:rFonts w:ascii="Avenir Next LT Pro" w:eastAsia="Times New Roman" w:hAnsi="Avenir Next LT Pro" w:cs="Times New Roman"/>
          <w:color w:val="000000"/>
          <w:sz w:val="24"/>
          <w:szCs w:val="24"/>
          <w:vertAlign w:val="superscript"/>
        </w:rPr>
        <w:footnoteReference w:id="11"/>
      </w:r>
    </w:p>
    <w:p w14:paraId="0FA2AC98"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The GAL is responsible for maintaining “independent representation.”</w:t>
      </w:r>
      <w:r w:rsidRPr="00F64151">
        <w:rPr>
          <w:rFonts w:ascii="Avenir Next LT Pro" w:eastAsia="Times New Roman" w:hAnsi="Avenir Next LT Pro" w:cs="Times New Roman"/>
          <w:color w:val="000000"/>
          <w:sz w:val="24"/>
          <w:szCs w:val="24"/>
          <w:vertAlign w:val="superscript"/>
        </w:rPr>
        <w:footnoteReference w:id="12"/>
      </w:r>
      <w:r w:rsidRPr="00F64151">
        <w:rPr>
          <w:rFonts w:ascii="Avenir Next LT Pro" w:eastAsia="Times New Roman" w:hAnsi="Avenir Next LT Pro" w:cs="Times New Roman"/>
          <w:color w:val="000000"/>
          <w:sz w:val="24"/>
          <w:szCs w:val="24"/>
        </w:rPr>
        <w:t xml:space="preserve"> </w:t>
      </w:r>
    </w:p>
    <w:p w14:paraId="6EC40C7F"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The confidentiality owed by a GAL is nondisclosure to anyone other than another party.</w:t>
      </w:r>
      <w:r w:rsidRPr="00F64151">
        <w:rPr>
          <w:rFonts w:ascii="Avenir Next LT Pro" w:eastAsia="Times New Roman" w:hAnsi="Avenir Next LT Pro" w:cs="Times New Roman"/>
          <w:color w:val="000000"/>
          <w:sz w:val="24"/>
          <w:szCs w:val="24"/>
          <w:vertAlign w:val="superscript"/>
        </w:rPr>
        <w:footnoteReference w:id="13"/>
      </w:r>
      <w:r w:rsidRPr="00F64151">
        <w:rPr>
          <w:rFonts w:ascii="Avenir Next LT Pro" w:eastAsia="Times New Roman" w:hAnsi="Avenir Next LT Pro" w:cs="Times New Roman"/>
          <w:color w:val="000000"/>
          <w:sz w:val="24"/>
          <w:szCs w:val="24"/>
        </w:rPr>
        <w:t xml:space="preserve"> </w:t>
      </w:r>
    </w:p>
    <w:p w14:paraId="722056B3"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“The guardian ad litem shall appear at all court proceedings to represent the child's best interests.”</w:t>
      </w:r>
      <w:r w:rsidRPr="00F64151">
        <w:rPr>
          <w:rFonts w:ascii="Avenir Next LT Pro" w:eastAsia="Times New Roman" w:hAnsi="Avenir Next LT Pro" w:cs="Times New Roman"/>
          <w:color w:val="000000"/>
          <w:sz w:val="24"/>
          <w:szCs w:val="24"/>
          <w:vertAlign w:val="superscript"/>
        </w:rPr>
        <w:footnoteReference w:id="14"/>
      </w:r>
    </w:p>
    <w:p w14:paraId="5DAB06E3"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The GAL is obligated to inform the court when the GAL’s determination of the child’s best interests is out of line with the child’s wishes.</w:t>
      </w:r>
      <w:r w:rsidRPr="00F64151">
        <w:rPr>
          <w:rFonts w:ascii="Avenir Next LT Pro" w:eastAsia="Times New Roman" w:hAnsi="Avenir Next LT Pro" w:cs="Times New Roman"/>
          <w:color w:val="000000"/>
          <w:sz w:val="24"/>
          <w:szCs w:val="24"/>
          <w:vertAlign w:val="superscript"/>
        </w:rPr>
        <w:footnoteReference w:id="15"/>
      </w:r>
      <w:r w:rsidRPr="00F64151">
        <w:rPr>
          <w:rFonts w:ascii="Avenir Next LT Pro" w:eastAsia="Times New Roman" w:hAnsi="Avenir Next LT Pro" w:cs="Times New Roman"/>
          <w:color w:val="000000"/>
          <w:sz w:val="24"/>
          <w:szCs w:val="24"/>
        </w:rPr>
        <w:t xml:space="preserve"> </w:t>
      </w:r>
    </w:p>
    <w:p w14:paraId="573282E6" w14:textId="77777777" w:rsidR="00AE4E3A" w:rsidRDefault="00AE4E3A" w:rsidP="007B425F">
      <w:pPr>
        <w:jc w:val="both"/>
        <w:rPr>
          <w:rFonts w:ascii="Avenir Next LT Pro" w:eastAsia="Times New Roman" w:hAnsi="Avenir Next LT Pro" w:cs="Times New Roman"/>
          <w:b/>
          <w:bCs/>
          <w:color w:val="000000"/>
          <w:sz w:val="24"/>
          <w:szCs w:val="24"/>
        </w:rPr>
      </w:pPr>
    </w:p>
    <w:p w14:paraId="05342808" w14:textId="7EA9E7E7" w:rsidR="00F64151" w:rsidRPr="00F64151" w:rsidRDefault="00F64151" w:rsidP="007B425F">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How does a client-directed attorney differ from a GAL?</w:t>
      </w:r>
    </w:p>
    <w:p w14:paraId="3CF06E28" w14:textId="77777777"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lastRenderedPageBreak/>
        <w:t>In contrast to a GAL, lawyers engaged in an attorney-client relationship perform a variety of functions – as an advisor, advocate, negotiator, and evaluator.</w:t>
      </w:r>
      <w:r w:rsidRPr="00F64151">
        <w:rPr>
          <w:rFonts w:ascii="Avenir Next LT Pro" w:eastAsia="Times New Roman" w:hAnsi="Avenir Next LT Pro" w:cs="Times New Roman"/>
          <w:color w:val="000000"/>
          <w:sz w:val="24"/>
          <w:szCs w:val="24"/>
          <w:vertAlign w:val="superscript"/>
        </w:rPr>
        <w:footnoteReference w:id="16"/>
      </w:r>
      <w:r w:rsidRPr="00F64151">
        <w:rPr>
          <w:rFonts w:ascii="Avenir Next LT Pro" w:eastAsia="Times New Roman" w:hAnsi="Avenir Next LT Pro" w:cs="Times New Roman"/>
          <w:color w:val="000000"/>
          <w:sz w:val="24"/>
          <w:szCs w:val="24"/>
        </w:rPr>
        <w:t xml:space="preserve">  In the attorney client relationship, owes the client certain duties. For example, a client-directed lawyer:</w:t>
      </w:r>
    </w:p>
    <w:p w14:paraId="6EBED7A9"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must provide competent representation. That is, the lawyer must have “the legal knowledge, skill, thoroughness and preparation reasonably necessary for the representation.”</w:t>
      </w:r>
      <w:r w:rsidRPr="00F64151">
        <w:rPr>
          <w:rFonts w:ascii="Avenir Next LT Pro" w:eastAsia="Times New Roman" w:hAnsi="Avenir Next LT Pro" w:cs="Times New Roman"/>
          <w:color w:val="000000"/>
          <w:sz w:val="24"/>
          <w:szCs w:val="24"/>
          <w:vertAlign w:val="superscript"/>
        </w:rPr>
        <w:footnoteReference w:id="17"/>
      </w:r>
    </w:p>
    <w:p w14:paraId="2A645426"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is generally required to “abide by a client's decisions concerning the objectives of representation” and consult with the client about how to achieve that objective.</w:t>
      </w:r>
      <w:r w:rsidRPr="00F64151">
        <w:rPr>
          <w:rFonts w:ascii="Avenir Next LT Pro" w:eastAsia="Times New Roman" w:hAnsi="Avenir Next LT Pro" w:cs="Times New Roman"/>
          <w:color w:val="000000"/>
          <w:sz w:val="24"/>
          <w:szCs w:val="24"/>
          <w:vertAlign w:val="superscript"/>
        </w:rPr>
        <w:footnoteReference w:id="18"/>
      </w:r>
      <w:r w:rsidRPr="00F64151">
        <w:rPr>
          <w:rFonts w:ascii="Avenir Next LT Pro" w:eastAsia="Times New Roman" w:hAnsi="Avenir Next LT Pro" w:cs="Times New Roman"/>
          <w:color w:val="000000"/>
          <w:sz w:val="24"/>
          <w:szCs w:val="24"/>
        </w:rPr>
        <w:t xml:space="preserve"> </w:t>
      </w:r>
    </w:p>
    <w:p w14:paraId="65FD030E" w14:textId="7CBFAB59"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must act </w:t>
      </w:r>
      <w:r w:rsidR="008A68F2" w:rsidRPr="00F64151">
        <w:rPr>
          <w:rFonts w:ascii="Avenir Next LT Pro" w:eastAsia="Times New Roman" w:hAnsi="Avenir Next LT Pro" w:cs="Times New Roman"/>
          <w:color w:val="000000"/>
          <w:sz w:val="24"/>
          <w:szCs w:val="24"/>
        </w:rPr>
        <w:t>with</w:t>
      </w:r>
      <w:r w:rsidRPr="00F64151">
        <w:rPr>
          <w:rFonts w:ascii="Avenir Next LT Pro" w:eastAsia="Times New Roman" w:hAnsi="Avenir Next LT Pro" w:cs="Times New Roman"/>
          <w:color w:val="000000"/>
          <w:sz w:val="24"/>
          <w:szCs w:val="24"/>
        </w:rPr>
        <w:t xml:space="preserve"> diligence and promptness and maintain ongoing communication with the client to keep the client informed and consult with the client.</w:t>
      </w:r>
      <w:r w:rsidRPr="00F64151">
        <w:rPr>
          <w:rFonts w:ascii="Avenir Next LT Pro" w:eastAsia="Times New Roman" w:hAnsi="Avenir Next LT Pro" w:cs="Times New Roman"/>
          <w:color w:val="000000"/>
          <w:sz w:val="24"/>
          <w:szCs w:val="24"/>
          <w:vertAlign w:val="superscript"/>
        </w:rPr>
        <w:footnoteReference w:id="19"/>
      </w:r>
      <w:r w:rsidRPr="00F64151">
        <w:rPr>
          <w:rFonts w:ascii="Avenir Next LT Pro" w:eastAsia="Times New Roman" w:hAnsi="Avenir Next LT Pro" w:cs="Times New Roman"/>
          <w:color w:val="000000"/>
          <w:sz w:val="24"/>
          <w:szCs w:val="24"/>
        </w:rPr>
        <w:t xml:space="preserve"> </w:t>
      </w:r>
    </w:p>
    <w:p w14:paraId="366B1457" w14:textId="77777777" w:rsidR="00F64151" w:rsidRPr="00F64151" w:rsidRDefault="00F64151" w:rsidP="007B425F">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must maintain the client’s information confidential.</w:t>
      </w:r>
      <w:r w:rsidRPr="00F64151">
        <w:rPr>
          <w:rFonts w:ascii="Avenir Next LT Pro" w:eastAsia="Times New Roman" w:hAnsi="Avenir Next LT Pro" w:cs="Times New Roman"/>
          <w:color w:val="000000"/>
          <w:sz w:val="24"/>
          <w:szCs w:val="24"/>
          <w:vertAlign w:val="superscript"/>
        </w:rPr>
        <w:footnoteReference w:id="20"/>
      </w:r>
    </w:p>
    <w:p w14:paraId="440AC44A" w14:textId="77777777" w:rsidR="00AE4E3A" w:rsidRDefault="00AE4E3A" w:rsidP="007B425F">
      <w:pPr>
        <w:jc w:val="both"/>
        <w:rPr>
          <w:rFonts w:ascii="Avenir Next LT Pro" w:eastAsia="Times New Roman" w:hAnsi="Avenir Next LT Pro" w:cs="Times New Roman"/>
          <w:b/>
          <w:bCs/>
          <w:color w:val="000000"/>
          <w:sz w:val="24"/>
          <w:szCs w:val="24"/>
        </w:rPr>
      </w:pPr>
    </w:p>
    <w:p w14:paraId="44F828CB" w14:textId="47D4A6AB" w:rsidR="00F64151" w:rsidRPr="00F64151" w:rsidRDefault="00F64151" w:rsidP="007B425F">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 xml:space="preserve">How does a lawyer represent infants, toddlers, and other children with diminished capacity? </w:t>
      </w:r>
    </w:p>
    <w:p w14:paraId="7F41CFC1" w14:textId="77777777"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Often, legislators are concerned that children lack the capacity to direct representation in a traditional attorney-client relationship. However, addressing diminished capacity should not be a foreign concept to lawyers. The rules of professional conduct provide a mechanism for assessing capacity and maintaining the relationship to the maximum extent possible.</w:t>
      </w:r>
    </w:p>
    <w:p w14:paraId="67356371" w14:textId="77777777" w:rsidR="008A68F2" w:rsidRDefault="008A68F2" w:rsidP="007B425F">
      <w:pPr>
        <w:jc w:val="both"/>
        <w:rPr>
          <w:rFonts w:ascii="Avenir Next LT Pro" w:eastAsia="Times New Roman" w:hAnsi="Avenir Next LT Pro" w:cs="Times New Roman"/>
          <w:color w:val="000000"/>
          <w:sz w:val="24"/>
          <w:szCs w:val="24"/>
        </w:rPr>
      </w:pPr>
    </w:p>
    <w:p w14:paraId="1ACC216B" w14:textId="601D82F2"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Missouri’s rules of professional conduct state:</w:t>
      </w:r>
    </w:p>
    <w:p w14:paraId="242AB48E" w14:textId="77777777" w:rsidR="00F64151" w:rsidRPr="00F64151" w:rsidRDefault="00F64151" w:rsidP="007B425F">
      <w:pPr>
        <w:ind w:left="720" w:right="720"/>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When a client's capacity to make adequately considered decisions in connection with a representation is diminished … because of minority … the lawyer shall, as far as reasonably possible, maintain a normal client-lawyer relationship with the client.</w:t>
      </w:r>
      <w:r w:rsidRPr="00F64151">
        <w:rPr>
          <w:rFonts w:ascii="Avenir Next LT Pro" w:eastAsia="Times New Roman" w:hAnsi="Avenir Next LT Pro" w:cs="Times New Roman"/>
          <w:i/>
          <w:iCs/>
          <w:color w:val="000000"/>
          <w:sz w:val="24"/>
          <w:szCs w:val="24"/>
          <w:vertAlign w:val="superscript"/>
        </w:rPr>
        <w:footnoteReference w:id="21"/>
      </w:r>
    </w:p>
    <w:p w14:paraId="53D2D7D4" w14:textId="77777777" w:rsidR="008A68F2" w:rsidRDefault="008A68F2" w:rsidP="007B425F">
      <w:pPr>
        <w:ind w:left="720" w:right="720"/>
        <w:jc w:val="both"/>
        <w:rPr>
          <w:rFonts w:ascii="Avenir Next LT Pro" w:eastAsia="Times New Roman" w:hAnsi="Avenir Next LT Pro" w:cs="Times New Roman"/>
          <w:i/>
          <w:iCs/>
          <w:color w:val="000000"/>
          <w:sz w:val="24"/>
          <w:szCs w:val="24"/>
        </w:rPr>
      </w:pPr>
    </w:p>
    <w:p w14:paraId="155D6549" w14:textId="695A9A00" w:rsidR="00F64151" w:rsidRPr="00F64151" w:rsidRDefault="00F64151" w:rsidP="007B425F">
      <w:pPr>
        <w:ind w:left="720" w:right="720"/>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 xml:space="preserve">…[A] client with diminished capacity often </w:t>
      </w:r>
      <w:proofErr w:type="gramStart"/>
      <w:r w:rsidRPr="00F64151">
        <w:rPr>
          <w:rFonts w:ascii="Avenir Next LT Pro" w:eastAsia="Times New Roman" w:hAnsi="Avenir Next LT Pro" w:cs="Times New Roman"/>
          <w:i/>
          <w:iCs/>
          <w:color w:val="000000"/>
          <w:sz w:val="24"/>
          <w:szCs w:val="24"/>
        </w:rPr>
        <w:t>has the ability to</w:t>
      </w:r>
      <w:proofErr w:type="gramEnd"/>
      <w:r w:rsidRPr="00F64151">
        <w:rPr>
          <w:rFonts w:ascii="Avenir Next LT Pro" w:eastAsia="Times New Roman" w:hAnsi="Avenir Next LT Pro" w:cs="Times New Roman"/>
          <w:i/>
          <w:iCs/>
          <w:color w:val="000000"/>
          <w:sz w:val="24"/>
          <w:szCs w:val="24"/>
        </w:rPr>
        <w:t xml:space="preserve"> understand, deliberate upon, and reach conclusions about matters affecting the </w:t>
      </w:r>
      <w:r w:rsidRPr="00F64151">
        <w:rPr>
          <w:rFonts w:ascii="Avenir Next LT Pro" w:eastAsia="Times New Roman" w:hAnsi="Avenir Next LT Pro" w:cs="Times New Roman"/>
          <w:i/>
          <w:iCs/>
          <w:color w:val="000000"/>
          <w:sz w:val="24"/>
          <w:szCs w:val="24"/>
        </w:rPr>
        <w:lastRenderedPageBreak/>
        <w:t>client's own well-being. For example, children as young as five or six years of age, and certainly those of ten or twelve years of age, are regarded as having opinions that are entitled to weight in legal proceedings concerning their custody. It is also recognized that some persons of advanced age can be quite capable of handling routine financial matters while needing special legal protection concerning major transactions.”</w:t>
      </w:r>
      <w:r w:rsidRPr="00F64151">
        <w:rPr>
          <w:rFonts w:ascii="Avenir Next LT Pro" w:eastAsia="Times New Roman" w:hAnsi="Avenir Next LT Pro" w:cs="Times New Roman"/>
          <w:i/>
          <w:iCs/>
          <w:color w:val="000000"/>
          <w:sz w:val="24"/>
          <w:szCs w:val="24"/>
          <w:vertAlign w:val="superscript"/>
        </w:rPr>
        <w:footnoteReference w:id="22"/>
      </w:r>
    </w:p>
    <w:p w14:paraId="3167775B" w14:textId="77777777" w:rsidR="008A68F2" w:rsidRDefault="008A68F2" w:rsidP="007B425F">
      <w:pPr>
        <w:jc w:val="both"/>
        <w:rPr>
          <w:rFonts w:ascii="Avenir Next LT Pro" w:eastAsia="Times New Roman" w:hAnsi="Avenir Next LT Pro" w:cs="Times New Roman"/>
          <w:color w:val="000000"/>
          <w:sz w:val="24"/>
          <w:szCs w:val="24"/>
        </w:rPr>
      </w:pPr>
    </w:p>
    <w:p w14:paraId="3B034FC0" w14:textId="0634C49D"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In a situation where a child cannot direct the representation. A lawyer could be permitted to use substitute judgement. Current ethical rules permit lawyers to take protective action for their clients with diminished capacity. “Such measures could include: consulting with family members, using a reconsideration period to permit clarification or improvement of circumstances, using voluntary surrogate decision-making tools.”</w:t>
      </w:r>
      <w:r w:rsidRPr="00F64151">
        <w:rPr>
          <w:rFonts w:ascii="Avenir Next LT Pro" w:eastAsia="Times New Roman" w:hAnsi="Avenir Next LT Pro" w:cs="Times New Roman"/>
          <w:color w:val="000000"/>
          <w:sz w:val="24"/>
          <w:szCs w:val="24"/>
          <w:vertAlign w:val="superscript"/>
        </w:rPr>
        <w:footnoteReference w:id="23"/>
      </w:r>
      <w:r w:rsidRPr="00F64151">
        <w:rPr>
          <w:rFonts w:ascii="Avenir Next LT Pro" w:eastAsia="Times New Roman" w:hAnsi="Avenir Next LT Pro" w:cs="Times New Roman"/>
          <w:color w:val="000000"/>
          <w:sz w:val="24"/>
          <w:szCs w:val="24"/>
        </w:rPr>
        <w:t xml:space="preserve"> However, when contemplating protective action “the lawyer should be guided by … the wishes and values of the client to the extent known, the client's best interests, and the goals of intruding into the client's decision-making autonomy to the least extent feasible, maximizing client capacities and respecting the client's family and social connections.”</w:t>
      </w:r>
      <w:r w:rsidRPr="00F64151">
        <w:rPr>
          <w:rFonts w:ascii="Avenir Next LT Pro" w:eastAsia="Times New Roman" w:hAnsi="Avenir Next LT Pro" w:cs="Times New Roman"/>
          <w:color w:val="000000"/>
          <w:sz w:val="24"/>
          <w:szCs w:val="24"/>
          <w:vertAlign w:val="superscript"/>
        </w:rPr>
        <w:footnoteReference w:id="24"/>
      </w:r>
    </w:p>
    <w:p w14:paraId="7B3F822F" w14:textId="77777777" w:rsidR="008A68F2" w:rsidRDefault="008A68F2" w:rsidP="007B425F">
      <w:pPr>
        <w:jc w:val="both"/>
        <w:rPr>
          <w:rFonts w:ascii="Avenir Next LT Pro" w:eastAsia="Times New Roman" w:hAnsi="Avenir Next LT Pro" w:cs="Times New Roman"/>
          <w:color w:val="000000"/>
          <w:sz w:val="24"/>
          <w:szCs w:val="24"/>
        </w:rPr>
      </w:pPr>
    </w:p>
    <w:p w14:paraId="0917555D" w14:textId="5AAEB415"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Additionally, even in this traditional relationship, a GAL is not out of the question. Current ethical rules permit the appointment of a GAL “[w]hen the lawyer reasonably believes that the client has diminished capacity; is at risk of substantial physical, financial or other harm unless action is taken; and cannot adequately act in the client's own interest.”</w:t>
      </w:r>
      <w:r w:rsidRPr="00F64151">
        <w:rPr>
          <w:rFonts w:ascii="Avenir Next LT Pro" w:eastAsia="Times New Roman" w:hAnsi="Avenir Next LT Pro" w:cs="Times New Roman"/>
          <w:color w:val="000000"/>
          <w:sz w:val="24"/>
          <w:szCs w:val="24"/>
          <w:vertAlign w:val="superscript"/>
        </w:rPr>
        <w:footnoteReference w:id="25"/>
      </w:r>
    </w:p>
    <w:p w14:paraId="1256D545" w14:textId="77777777" w:rsidR="008A68F2" w:rsidRDefault="008A68F2" w:rsidP="007B425F">
      <w:pPr>
        <w:jc w:val="both"/>
        <w:rPr>
          <w:rFonts w:ascii="Avenir Next LT Pro" w:eastAsia="Times New Roman" w:hAnsi="Avenir Next LT Pro" w:cs="Times New Roman"/>
          <w:i/>
          <w:iCs/>
          <w:color w:val="000000"/>
          <w:sz w:val="24"/>
          <w:szCs w:val="24"/>
        </w:rPr>
      </w:pPr>
    </w:p>
    <w:p w14:paraId="5F3297BE" w14:textId="4E724F3E" w:rsidR="00F64151" w:rsidRPr="00F64151" w:rsidRDefault="00F64151" w:rsidP="007B425F">
      <w:pPr>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Arizona Substitute Judgement</w:t>
      </w:r>
    </w:p>
    <w:p w14:paraId="48B2B8F4" w14:textId="77777777" w:rsidR="008A68F2" w:rsidRDefault="008A68F2" w:rsidP="007B425F">
      <w:pPr>
        <w:jc w:val="both"/>
        <w:rPr>
          <w:rFonts w:ascii="Avenir Next LT Pro" w:eastAsia="Times New Roman" w:hAnsi="Avenir Next LT Pro" w:cs="Times New Roman"/>
          <w:color w:val="000000"/>
          <w:sz w:val="24"/>
          <w:szCs w:val="24"/>
        </w:rPr>
      </w:pPr>
    </w:p>
    <w:p w14:paraId="32F42E63" w14:textId="28406014"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When providing attorneys for all children in care, the Arizona Supreme Court implemented a special mechanism for substitute judgement when a child is unable to direct the representation. In relevant part, the rules states:</w:t>
      </w:r>
    </w:p>
    <w:p w14:paraId="5CA4680D" w14:textId="77777777" w:rsidR="00F64151" w:rsidRPr="00F64151" w:rsidRDefault="00F64151" w:rsidP="007B425F">
      <w:pPr>
        <w:ind w:left="720" w:right="720"/>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 xml:space="preserve">Substituted Judgment. During any period in which a normal attorney-client relationship is not reasonably possible to maintain, the child's attorney must make a substituted judgment. The attorney must advise the court of the determination of capacity that requires substituted judgment and any subsequent change in that determination. A substituted judgment includes determining what the child would decide if the child </w:t>
      </w:r>
      <w:proofErr w:type="gramStart"/>
      <w:r w:rsidRPr="00F64151">
        <w:rPr>
          <w:rFonts w:ascii="Avenir Next LT Pro" w:eastAsia="Times New Roman" w:hAnsi="Avenir Next LT Pro" w:cs="Times New Roman"/>
          <w:i/>
          <w:iCs/>
          <w:color w:val="000000"/>
          <w:sz w:val="24"/>
          <w:szCs w:val="24"/>
        </w:rPr>
        <w:t>was capable of making</w:t>
      </w:r>
      <w:proofErr w:type="gramEnd"/>
      <w:r w:rsidRPr="00F64151">
        <w:rPr>
          <w:rFonts w:ascii="Avenir Next LT Pro" w:eastAsia="Times New Roman" w:hAnsi="Avenir Next LT Pro" w:cs="Times New Roman"/>
          <w:i/>
          <w:iCs/>
          <w:color w:val="000000"/>
          <w:sz w:val="24"/>
          <w:szCs w:val="24"/>
        </w:rPr>
        <w:t xml:space="preserve"> an adequately considered decision and representing the child in accordance with that determination. The attorney </w:t>
      </w:r>
      <w:r w:rsidRPr="00F64151">
        <w:rPr>
          <w:rFonts w:ascii="Avenir Next LT Pro" w:eastAsia="Times New Roman" w:hAnsi="Avenir Next LT Pro" w:cs="Times New Roman"/>
          <w:i/>
          <w:iCs/>
          <w:color w:val="000000"/>
          <w:sz w:val="24"/>
          <w:szCs w:val="24"/>
        </w:rPr>
        <w:lastRenderedPageBreak/>
        <w:t>should take direction from the child as the child develops the capacity to direct the attorney.</w:t>
      </w:r>
      <w:r w:rsidRPr="00F64151">
        <w:rPr>
          <w:rFonts w:ascii="Avenir Next LT Pro" w:eastAsia="Times New Roman" w:hAnsi="Avenir Next LT Pro" w:cs="Times New Roman"/>
          <w:i/>
          <w:iCs/>
          <w:color w:val="000000"/>
          <w:sz w:val="24"/>
          <w:szCs w:val="24"/>
          <w:vertAlign w:val="superscript"/>
        </w:rPr>
        <w:footnoteReference w:id="26"/>
      </w:r>
    </w:p>
    <w:p w14:paraId="2268FE4B" w14:textId="77777777" w:rsidR="008A68F2" w:rsidRDefault="008A68F2" w:rsidP="007B425F">
      <w:pPr>
        <w:jc w:val="both"/>
        <w:rPr>
          <w:rFonts w:ascii="Avenir Next LT Pro" w:eastAsia="Times New Roman" w:hAnsi="Avenir Next LT Pro" w:cs="Times New Roman"/>
          <w:i/>
          <w:iCs/>
          <w:color w:val="000000"/>
          <w:sz w:val="24"/>
          <w:szCs w:val="24"/>
        </w:rPr>
      </w:pPr>
    </w:p>
    <w:p w14:paraId="2A389DA1" w14:textId="0B6E52BE"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Determine Capacity</w:t>
      </w:r>
      <w:r w:rsidRPr="00F64151">
        <w:rPr>
          <w:rFonts w:ascii="Avenir Next LT Pro" w:eastAsia="Times New Roman" w:hAnsi="Avenir Next LT Pro" w:cs="Times New Roman"/>
          <w:color w:val="000000"/>
          <w:sz w:val="24"/>
          <w:szCs w:val="24"/>
        </w:rPr>
        <w:t xml:space="preserve">. It is the ethical obligation of an attorney for a child to determine their clients’ capacity to make adequately considered decisions regarding the case. In making this determination for the child, the attorney must meet with the child in person, become acquainted with the child and the child’s situation, and assess the child’s ability to express wishes and direct the representation. The attorney should also consult other individuals such as family, foster placements, medical experts, and others with relevant information to determine the </w:t>
      </w:r>
      <w:proofErr w:type="gramStart"/>
      <w:r w:rsidRPr="00F64151">
        <w:rPr>
          <w:rFonts w:ascii="Avenir Next LT Pro" w:eastAsia="Times New Roman" w:hAnsi="Avenir Next LT Pro" w:cs="Times New Roman"/>
          <w:color w:val="000000"/>
          <w:sz w:val="24"/>
          <w:szCs w:val="24"/>
        </w:rPr>
        <w:t>child</w:t>
      </w:r>
      <w:proofErr w:type="gramEnd"/>
      <w:r w:rsidRPr="00F64151">
        <w:rPr>
          <w:rFonts w:ascii="Avenir Next LT Pro" w:eastAsia="Times New Roman" w:hAnsi="Avenir Next LT Pro" w:cs="Times New Roman"/>
          <w:color w:val="000000"/>
          <w:sz w:val="24"/>
          <w:szCs w:val="24"/>
        </w:rPr>
        <w:t xml:space="preserve"> capacity.</w:t>
      </w:r>
    </w:p>
    <w:p w14:paraId="0E559C02" w14:textId="77777777" w:rsidR="008A68F2" w:rsidRDefault="008A68F2" w:rsidP="007B425F">
      <w:pPr>
        <w:jc w:val="both"/>
        <w:rPr>
          <w:rFonts w:ascii="Avenir Next LT Pro" w:eastAsia="Times New Roman" w:hAnsi="Avenir Next LT Pro" w:cs="Times New Roman"/>
          <w:i/>
          <w:iCs/>
          <w:color w:val="000000"/>
          <w:sz w:val="24"/>
          <w:szCs w:val="24"/>
        </w:rPr>
      </w:pPr>
    </w:p>
    <w:p w14:paraId="5903FA56" w14:textId="30F050B9"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Diminished Capacity</w:t>
      </w:r>
      <w:r w:rsidRPr="00F64151">
        <w:rPr>
          <w:rFonts w:ascii="Avenir Next LT Pro" w:eastAsia="Times New Roman" w:hAnsi="Avenir Next LT Pro" w:cs="Times New Roman"/>
          <w:color w:val="000000"/>
          <w:sz w:val="24"/>
          <w:szCs w:val="24"/>
        </w:rPr>
        <w:t xml:space="preserve">. If the child’s attorney determines that the child lacks the capacity to express wishes and direct representation, the attorney must make a good faith effort to determine the child’s needs and wishes. As far as possible, the attorney must maintain a normal attorney-client relationship with the child. Accomplishing both points requires regular in-person meetings with the child and, often, consistent communication with the child’s caregivers.  </w:t>
      </w:r>
    </w:p>
    <w:p w14:paraId="348A8B93" w14:textId="77777777" w:rsidR="008A68F2" w:rsidRDefault="008A68F2" w:rsidP="007B425F">
      <w:pPr>
        <w:jc w:val="both"/>
        <w:rPr>
          <w:rFonts w:ascii="Avenir Next LT Pro" w:eastAsia="Times New Roman" w:hAnsi="Avenir Next LT Pro" w:cs="Times New Roman"/>
          <w:i/>
          <w:iCs/>
          <w:color w:val="000000"/>
          <w:sz w:val="24"/>
          <w:szCs w:val="24"/>
        </w:rPr>
      </w:pPr>
    </w:p>
    <w:p w14:paraId="08A78EB6" w14:textId="054EA131"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Substituted Judgement</w:t>
      </w:r>
      <w:r w:rsidRPr="00F64151">
        <w:rPr>
          <w:rFonts w:ascii="Avenir Next LT Pro" w:eastAsia="Times New Roman" w:hAnsi="Avenir Next LT Pro" w:cs="Times New Roman"/>
          <w:color w:val="000000"/>
          <w:sz w:val="24"/>
          <w:szCs w:val="24"/>
        </w:rPr>
        <w:t xml:space="preserve">. If the child’s attorney determines the child has diminished capacity, the attorney must inform the court of the determination </w:t>
      </w:r>
      <w:proofErr w:type="gramStart"/>
      <w:r w:rsidRPr="00F64151">
        <w:rPr>
          <w:rFonts w:ascii="Avenir Next LT Pro" w:eastAsia="Times New Roman" w:hAnsi="Avenir Next LT Pro" w:cs="Times New Roman"/>
          <w:color w:val="000000"/>
          <w:sz w:val="24"/>
          <w:szCs w:val="24"/>
        </w:rPr>
        <w:t>an</w:t>
      </w:r>
      <w:proofErr w:type="gramEnd"/>
      <w:r w:rsidRPr="00F64151">
        <w:rPr>
          <w:rFonts w:ascii="Avenir Next LT Pro" w:eastAsia="Times New Roman" w:hAnsi="Avenir Next LT Pro" w:cs="Times New Roman"/>
          <w:color w:val="000000"/>
          <w:sz w:val="24"/>
          <w:szCs w:val="24"/>
        </w:rPr>
        <w:t xml:space="preserve"> substitute the attorney’s judgement, advocating what the child part’s wishes would be if the child could adequately consider decisions. To do this effectively, the attorney must continue to meet with the child, the child’s caregivers, and others with knowledge of the child’s wellbeing; engage fully in all court proceedings, including keeping up with records, testimony, and case reports; and keeping the child updated on the status of the case and pending hearings or other court obligations.</w:t>
      </w:r>
    </w:p>
    <w:p w14:paraId="1F1A8AF3" w14:textId="77777777" w:rsidR="00F64151" w:rsidRPr="00F64151" w:rsidRDefault="00F64151" w:rsidP="007B425F">
      <w:pPr>
        <w:jc w:val="both"/>
        <w:rPr>
          <w:rFonts w:ascii="Avenir Next LT Pro" w:eastAsia="Times New Roman" w:hAnsi="Avenir Next LT Pro" w:cs="Times New Roman"/>
          <w:b/>
          <w:bCs/>
          <w:color w:val="000000"/>
          <w:sz w:val="24"/>
          <w:szCs w:val="24"/>
        </w:rPr>
      </w:pPr>
    </w:p>
    <w:p w14:paraId="585153E8" w14:textId="77777777" w:rsidR="00F64151" w:rsidRPr="00F64151" w:rsidRDefault="00F64151" w:rsidP="007B425F">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 xml:space="preserve">Will confidentiality undermine the safety of the child? </w:t>
      </w:r>
    </w:p>
    <w:p w14:paraId="430CDDFF" w14:textId="77777777"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In Missouri, while confidentiality is a fundamental component of an attorney-client relationship, there are certain, limited, exceptions.</w:t>
      </w:r>
      <w:r w:rsidRPr="00F64151">
        <w:rPr>
          <w:rFonts w:ascii="Avenir Next LT Pro" w:eastAsia="Times New Roman" w:hAnsi="Avenir Next LT Pro" w:cs="Times New Roman"/>
          <w:color w:val="000000"/>
          <w:sz w:val="24"/>
          <w:szCs w:val="24"/>
          <w:vertAlign w:val="superscript"/>
        </w:rPr>
        <w:footnoteReference w:id="27"/>
      </w:r>
      <w:r w:rsidRPr="00F64151">
        <w:rPr>
          <w:rFonts w:ascii="Avenir Next LT Pro" w:eastAsia="Times New Roman" w:hAnsi="Avenir Next LT Pro" w:cs="Times New Roman"/>
          <w:color w:val="000000"/>
          <w:sz w:val="24"/>
          <w:szCs w:val="24"/>
        </w:rPr>
        <w:t xml:space="preserve"> As a general rule, a lawyer is prohibited from revealing information relating to the representation of a client absent the client’s informed consent.</w:t>
      </w:r>
      <w:r w:rsidRPr="00F64151">
        <w:rPr>
          <w:rFonts w:ascii="Avenir Next LT Pro" w:eastAsia="Times New Roman" w:hAnsi="Avenir Next LT Pro" w:cs="Times New Roman"/>
          <w:color w:val="000000"/>
          <w:sz w:val="24"/>
          <w:szCs w:val="24"/>
          <w:vertAlign w:val="superscript"/>
        </w:rPr>
        <w:footnoteReference w:id="28"/>
      </w:r>
      <w:r w:rsidRPr="00F64151">
        <w:rPr>
          <w:rFonts w:ascii="Avenir Next LT Pro" w:eastAsia="Times New Roman" w:hAnsi="Avenir Next LT Pro" w:cs="Times New Roman"/>
          <w:color w:val="000000"/>
          <w:sz w:val="24"/>
          <w:szCs w:val="24"/>
        </w:rPr>
        <w:t xml:space="preserve"> Confidentiality, in this context, protects information “relating to the representation of a client during the lawyer's representation of the client.”</w:t>
      </w:r>
      <w:r w:rsidRPr="00F64151">
        <w:rPr>
          <w:rFonts w:ascii="Avenir Next LT Pro" w:eastAsia="Times New Roman" w:hAnsi="Avenir Next LT Pro" w:cs="Times New Roman"/>
          <w:color w:val="000000"/>
          <w:sz w:val="24"/>
          <w:szCs w:val="24"/>
          <w:vertAlign w:val="superscript"/>
        </w:rPr>
        <w:footnoteReference w:id="29"/>
      </w:r>
      <w:r w:rsidRPr="00F64151">
        <w:rPr>
          <w:rFonts w:ascii="Avenir Next LT Pro" w:eastAsia="Times New Roman" w:hAnsi="Avenir Next LT Pro" w:cs="Times New Roman"/>
          <w:color w:val="000000"/>
          <w:sz w:val="24"/>
          <w:szCs w:val="24"/>
        </w:rPr>
        <w:t xml:space="preserve"> Maintaining confidences is crucial to ensuring a relationship in which the client (child) trusts the lawyer and the lawyer possesses sufficient information to effectively represent the client.</w:t>
      </w:r>
      <w:r w:rsidRPr="00F64151">
        <w:rPr>
          <w:rFonts w:ascii="Avenir Next LT Pro" w:eastAsia="Times New Roman" w:hAnsi="Avenir Next LT Pro" w:cs="Times New Roman"/>
          <w:color w:val="000000"/>
          <w:sz w:val="24"/>
          <w:szCs w:val="24"/>
          <w:vertAlign w:val="superscript"/>
        </w:rPr>
        <w:footnoteReference w:id="30"/>
      </w:r>
      <w:r w:rsidRPr="00F64151">
        <w:rPr>
          <w:rFonts w:ascii="Avenir Next LT Pro" w:eastAsia="Times New Roman" w:hAnsi="Avenir Next LT Pro" w:cs="Times New Roman"/>
          <w:color w:val="000000"/>
          <w:sz w:val="24"/>
          <w:szCs w:val="24"/>
        </w:rPr>
        <w:t xml:space="preserve"> </w:t>
      </w:r>
    </w:p>
    <w:p w14:paraId="4F7FD688" w14:textId="77777777" w:rsidR="009E79B1" w:rsidRDefault="009E79B1" w:rsidP="007B425F">
      <w:pPr>
        <w:jc w:val="both"/>
        <w:rPr>
          <w:rFonts w:ascii="Avenir Next LT Pro" w:eastAsia="Times New Roman" w:hAnsi="Avenir Next LT Pro" w:cs="Times New Roman"/>
          <w:color w:val="000000"/>
          <w:sz w:val="24"/>
          <w:szCs w:val="24"/>
        </w:rPr>
      </w:pPr>
    </w:p>
    <w:p w14:paraId="5FAD5CFF" w14:textId="58870962"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One of the exceptions, important in cases of abuse and neglect, is the freedom to disclose information that would otherwise be confidential to prevent reasonably certain death or bodily harm. Specifically, a lawyer may reveal confidential information when it is necessary “to prevent death or substantial bodily harm that is reasonably certain to occur.”</w:t>
      </w:r>
      <w:r w:rsidRPr="00F64151">
        <w:rPr>
          <w:rFonts w:ascii="Avenir Next LT Pro" w:eastAsia="Times New Roman" w:hAnsi="Avenir Next LT Pro" w:cs="Times New Roman"/>
          <w:color w:val="000000"/>
          <w:sz w:val="24"/>
          <w:szCs w:val="24"/>
          <w:vertAlign w:val="superscript"/>
        </w:rPr>
        <w:footnoteReference w:id="31"/>
      </w:r>
      <w:r w:rsidRPr="00F64151">
        <w:rPr>
          <w:rFonts w:ascii="Avenir Next LT Pro" w:eastAsia="Times New Roman" w:hAnsi="Avenir Next LT Pro" w:cs="Times New Roman"/>
          <w:color w:val="000000"/>
          <w:sz w:val="24"/>
          <w:szCs w:val="24"/>
        </w:rPr>
        <w:t xml:space="preserve"> Thus, an attorney is permitted to disclose confidential information when the “overriding value of life and physical integrity” justifies “disclosure reasonably necessary to prevent reasonably certain death or substantial bodily harm.” This harm must be imminent or present a “substantial threat that a person will suffer such harm at a later date if the lawyer fails to take action necessary to eliminate the threat.”</w:t>
      </w:r>
      <w:r w:rsidRPr="00F64151">
        <w:rPr>
          <w:rFonts w:ascii="Avenir Next LT Pro" w:eastAsia="Times New Roman" w:hAnsi="Avenir Next LT Pro" w:cs="Times New Roman"/>
          <w:color w:val="000000"/>
          <w:sz w:val="24"/>
          <w:szCs w:val="24"/>
          <w:vertAlign w:val="superscript"/>
        </w:rPr>
        <w:footnoteReference w:id="32"/>
      </w:r>
    </w:p>
    <w:p w14:paraId="5E390BAC" w14:textId="77777777" w:rsidR="009E79B1" w:rsidRDefault="009E79B1" w:rsidP="007B425F">
      <w:pPr>
        <w:jc w:val="both"/>
        <w:rPr>
          <w:rFonts w:ascii="Avenir Next LT Pro" w:eastAsia="Times New Roman" w:hAnsi="Avenir Next LT Pro" w:cs="Times New Roman"/>
          <w:color w:val="000000"/>
          <w:sz w:val="24"/>
          <w:szCs w:val="24"/>
        </w:rPr>
      </w:pPr>
    </w:p>
    <w:p w14:paraId="18D588EB" w14:textId="144961C9"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In sum, confidentiality does not mean that a lawyer must be resigned to argue for the child’s ongoing abuse. For example, if a child wishes to return home to an abusive situation the lawyer may be permitted to reveal confidential information to protect the child from imminent or substantial likelihood of future harm. Given the child has already been removed from a home where harm has been alleged and substantiated, showing imminent or future harm would seem to be a low bar.  </w:t>
      </w:r>
    </w:p>
    <w:p w14:paraId="5D9ABCC9" w14:textId="77777777" w:rsidR="009E79B1" w:rsidRDefault="009E79B1" w:rsidP="007B425F">
      <w:pPr>
        <w:jc w:val="both"/>
        <w:rPr>
          <w:rFonts w:ascii="Avenir Next LT Pro" w:eastAsia="Times New Roman" w:hAnsi="Avenir Next LT Pro" w:cs="Times New Roman"/>
          <w:color w:val="000000"/>
          <w:sz w:val="24"/>
          <w:szCs w:val="24"/>
        </w:rPr>
      </w:pPr>
    </w:p>
    <w:p w14:paraId="52F25086" w14:textId="765608C1" w:rsidR="00F64151" w:rsidRPr="00F64151" w:rsidRDefault="00F64151" w:rsidP="007B425F">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While disclosure of confidential information could be justified, it may not be necessary to simultaneously argue for the child’s wishes and keep the child safe. A creative attorney should be able to advocate for a child’s wish to return home, even if to a presently abusive environment, by arguing for the timely implementation of remedial services or certain actions designed to remove the threat to the child. For example, securing a court order that removes a perpetrator from the home and prevents further contact with the child could mitigate the threat to the child’s safety while advocating for the child’s wish to return home. Or, perhaps, in other situations, the lawyer could argue for timely provision of substance abuse treatment, closely track rehabilitation, </w:t>
      </w:r>
      <w:r w:rsidRPr="00F64151">
        <w:rPr>
          <w:rFonts w:ascii="Avenir Next LT Pro" w:eastAsia="Times New Roman" w:hAnsi="Avenir Next LT Pro" w:cs="Times New Roman"/>
          <w:color w:val="000000"/>
          <w:sz w:val="24"/>
          <w:szCs w:val="24"/>
        </w:rPr>
        <w:lastRenderedPageBreak/>
        <w:t>pursue provision of mental health services, or any number of strategic avenues to help the child return safely home. Ultimately, it is up to the judge to determine what is in the best interest of the child.</w:t>
      </w:r>
      <w:r w:rsidRPr="00F64151">
        <w:rPr>
          <w:rFonts w:ascii="Avenir Next LT Pro" w:eastAsia="Times New Roman" w:hAnsi="Avenir Next LT Pro" w:cs="Times New Roman"/>
          <w:color w:val="000000"/>
          <w:sz w:val="24"/>
          <w:szCs w:val="24"/>
          <w:vertAlign w:val="superscript"/>
        </w:rPr>
        <w:footnoteReference w:id="33"/>
      </w:r>
    </w:p>
    <w:p w14:paraId="64986B68" w14:textId="77777777" w:rsidR="001229DD" w:rsidRDefault="001229DD" w:rsidP="007B425F">
      <w:pPr>
        <w:jc w:val="both"/>
        <w:rPr>
          <w:rFonts w:ascii="Avenir Next LT Pro" w:eastAsia="Times New Roman" w:hAnsi="Avenir Next LT Pro" w:cs="Times New Roman"/>
          <w:b/>
          <w:bCs/>
          <w:color w:val="000000"/>
          <w:sz w:val="24"/>
          <w:szCs w:val="24"/>
        </w:rPr>
      </w:pPr>
    </w:p>
    <w:p w14:paraId="774B79A6" w14:textId="77777777" w:rsidR="00F64151" w:rsidRPr="00F64151" w:rsidRDefault="00F64151" w:rsidP="007B425F">
      <w:pPr>
        <w:jc w:val="both"/>
        <w:rPr>
          <w:rFonts w:ascii="Avenir Next LT Pro" w:eastAsia="Times New Roman" w:hAnsi="Avenir Next LT Pro" w:cs="Times New Roman"/>
          <w:b/>
          <w:bCs/>
          <w:color w:val="000000"/>
          <w:sz w:val="24"/>
          <w:szCs w:val="24"/>
        </w:rPr>
      </w:pPr>
    </w:p>
    <w:p w14:paraId="2586BEE1" w14:textId="407F57BD" w:rsidR="00F64151" w:rsidRDefault="002808CA" w:rsidP="007B425F">
      <w:pPr>
        <w:jc w:val="both"/>
        <w:rPr>
          <w:rFonts w:ascii="Avenir Next LT Pro" w:eastAsia="Times New Roman" w:hAnsi="Avenir Next LT Pro" w:cs="Times New Roman"/>
          <w:b/>
          <w:bCs/>
          <w:color w:val="000000"/>
          <w:sz w:val="24"/>
          <w:szCs w:val="24"/>
        </w:rPr>
      </w:pPr>
      <w:r w:rsidRPr="00D02B8B">
        <w:rPr>
          <w:rFonts w:ascii="Avenir Next LT Pro" w:eastAsia="Times New Roman" w:hAnsi="Avenir Next LT Pro" w:cs="Times New Roman"/>
          <w:b/>
          <w:bCs/>
          <w:color w:val="000000"/>
          <w:sz w:val="24"/>
          <w:szCs w:val="24"/>
        </w:rPr>
        <w:t xml:space="preserve">Must we address </w:t>
      </w:r>
      <w:r w:rsidR="00352CB3" w:rsidRPr="00D02B8B">
        <w:rPr>
          <w:rFonts w:ascii="Avenir Next LT Pro" w:eastAsia="Times New Roman" w:hAnsi="Avenir Next LT Pro" w:cs="Times New Roman"/>
          <w:b/>
          <w:bCs/>
          <w:color w:val="000000"/>
          <w:sz w:val="24"/>
          <w:szCs w:val="24"/>
        </w:rPr>
        <w:t xml:space="preserve">the structural issues </w:t>
      </w:r>
      <w:r w:rsidR="00D02B8B" w:rsidRPr="00D02B8B">
        <w:rPr>
          <w:rFonts w:ascii="Avenir Next LT Pro" w:eastAsia="Times New Roman" w:hAnsi="Avenir Next LT Pro" w:cs="Times New Roman"/>
          <w:b/>
          <w:bCs/>
          <w:color w:val="000000"/>
          <w:sz w:val="24"/>
          <w:szCs w:val="24"/>
        </w:rPr>
        <w:t>of the Juvenile Office?</w:t>
      </w:r>
    </w:p>
    <w:p w14:paraId="2BEF8D3E" w14:textId="7B0172F1" w:rsidR="00460996" w:rsidRDefault="00460996"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There may be a separation of power issue with the unique structure of </w:t>
      </w:r>
      <w:r w:rsidR="009F6C38">
        <w:rPr>
          <w:rFonts w:ascii="Avenir Next LT Pro" w:eastAsia="Times New Roman" w:hAnsi="Avenir Next LT Pro" w:cs="Times New Roman"/>
          <w:color w:val="000000"/>
          <w:sz w:val="24"/>
          <w:szCs w:val="24"/>
        </w:rPr>
        <w:t>Missouri’s juvenile court structure</w:t>
      </w:r>
      <w:r w:rsidR="003D0DA6">
        <w:rPr>
          <w:rFonts w:ascii="Avenir Next LT Pro" w:eastAsia="Times New Roman" w:hAnsi="Avenir Next LT Pro" w:cs="Times New Roman"/>
          <w:color w:val="000000"/>
          <w:sz w:val="24"/>
          <w:szCs w:val="24"/>
        </w:rPr>
        <w:t xml:space="preserve">. One legal scholar </w:t>
      </w:r>
      <w:r w:rsidR="009A21ED">
        <w:rPr>
          <w:rFonts w:ascii="Avenir Next LT Pro" w:eastAsia="Times New Roman" w:hAnsi="Avenir Next LT Pro" w:cs="Times New Roman"/>
          <w:color w:val="000000"/>
          <w:sz w:val="24"/>
          <w:szCs w:val="24"/>
        </w:rPr>
        <w:t>argues</w:t>
      </w:r>
      <w:r w:rsidR="003D0DA6">
        <w:rPr>
          <w:rFonts w:ascii="Avenir Next LT Pro" w:eastAsia="Times New Roman" w:hAnsi="Avenir Next LT Pro" w:cs="Times New Roman"/>
          <w:color w:val="000000"/>
          <w:sz w:val="24"/>
          <w:szCs w:val="24"/>
        </w:rPr>
        <w:t xml:space="preserve"> that the current structure violates constitutional separation of powers, concentrating power in the judiciary that belongs to the executive, and raises </w:t>
      </w:r>
      <w:r w:rsidR="00F92816">
        <w:rPr>
          <w:rFonts w:ascii="Avenir Next LT Pro" w:eastAsia="Times New Roman" w:hAnsi="Avenir Next LT Pro" w:cs="Times New Roman"/>
          <w:color w:val="000000"/>
          <w:sz w:val="24"/>
          <w:szCs w:val="24"/>
        </w:rPr>
        <w:t>several</w:t>
      </w:r>
      <w:r w:rsidR="003D0DA6">
        <w:rPr>
          <w:rFonts w:ascii="Avenir Next LT Pro" w:eastAsia="Times New Roman" w:hAnsi="Avenir Next LT Pro" w:cs="Times New Roman"/>
          <w:color w:val="000000"/>
          <w:sz w:val="24"/>
          <w:szCs w:val="24"/>
        </w:rPr>
        <w:t xml:space="preserve"> problems in the context of child welfare. These </w:t>
      </w:r>
      <w:r w:rsidR="00A10401">
        <w:rPr>
          <w:rFonts w:ascii="Avenir Next LT Pro" w:eastAsia="Times New Roman" w:hAnsi="Avenir Next LT Pro" w:cs="Times New Roman"/>
          <w:color w:val="000000"/>
          <w:sz w:val="24"/>
          <w:szCs w:val="24"/>
        </w:rPr>
        <w:t>problems include, impeding executive authority to operate a statewide child welfare system</w:t>
      </w:r>
      <w:r w:rsidR="009A21ED">
        <w:rPr>
          <w:rFonts w:ascii="Avenir Next LT Pro" w:eastAsia="Times New Roman" w:hAnsi="Avenir Next LT Pro" w:cs="Times New Roman"/>
          <w:color w:val="000000"/>
          <w:sz w:val="24"/>
          <w:szCs w:val="24"/>
        </w:rPr>
        <w:t xml:space="preserve"> and</w:t>
      </w:r>
      <w:r w:rsidR="00A10401">
        <w:rPr>
          <w:rFonts w:ascii="Avenir Next LT Pro" w:eastAsia="Times New Roman" w:hAnsi="Avenir Next LT Pro" w:cs="Times New Roman"/>
          <w:color w:val="000000"/>
          <w:sz w:val="24"/>
          <w:szCs w:val="24"/>
        </w:rPr>
        <w:t xml:space="preserve"> </w:t>
      </w:r>
      <w:r w:rsidR="0099136E">
        <w:rPr>
          <w:rFonts w:ascii="Avenir Next LT Pro" w:eastAsia="Times New Roman" w:hAnsi="Avenir Next LT Pro" w:cs="Times New Roman"/>
          <w:color w:val="000000"/>
          <w:sz w:val="24"/>
          <w:szCs w:val="24"/>
        </w:rPr>
        <w:t>wasting resources and funding on duplicative personnel</w:t>
      </w:r>
      <w:r w:rsidR="009A21ED">
        <w:rPr>
          <w:rFonts w:ascii="Avenir Next LT Pro" w:eastAsia="Times New Roman" w:hAnsi="Avenir Next LT Pro" w:cs="Times New Roman"/>
          <w:color w:val="000000"/>
          <w:sz w:val="24"/>
          <w:szCs w:val="24"/>
        </w:rPr>
        <w:t>.</w:t>
      </w:r>
      <w:r w:rsidR="00F22416">
        <w:rPr>
          <w:rFonts w:ascii="Avenir Next LT Pro" w:eastAsia="Times New Roman" w:hAnsi="Avenir Next LT Pro" w:cs="Times New Roman"/>
          <w:color w:val="000000"/>
          <w:sz w:val="24"/>
          <w:szCs w:val="24"/>
        </w:rPr>
        <w:t>”</w:t>
      </w:r>
      <w:r w:rsidR="009F6C38">
        <w:rPr>
          <w:rStyle w:val="FootnoteReference"/>
          <w:rFonts w:ascii="Avenir Next LT Pro" w:eastAsia="Times New Roman" w:hAnsi="Avenir Next LT Pro" w:cs="Times New Roman"/>
          <w:color w:val="000000"/>
          <w:sz w:val="24"/>
          <w:szCs w:val="24"/>
        </w:rPr>
        <w:footnoteReference w:id="34"/>
      </w:r>
    </w:p>
    <w:p w14:paraId="3223CE94" w14:textId="77777777" w:rsidR="009E79B1" w:rsidRDefault="009E79B1" w:rsidP="007B425F">
      <w:pPr>
        <w:jc w:val="both"/>
        <w:rPr>
          <w:rFonts w:ascii="Avenir Next LT Pro" w:eastAsia="Times New Roman" w:hAnsi="Avenir Next LT Pro" w:cs="Times New Roman"/>
          <w:color w:val="000000"/>
          <w:sz w:val="24"/>
          <w:szCs w:val="24"/>
        </w:rPr>
      </w:pPr>
    </w:p>
    <w:p w14:paraId="020A4D1E" w14:textId="78496139" w:rsidR="00D043BA" w:rsidRDefault="00EB111A"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The appearance of partiality</w:t>
      </w:r>
      <w:r w:rsidR="00F92816">
        <w:rPr>
          <w:rFonts w:ascii="Avenir Next LT Pro" w:eastAsia="Times New Roman" w:hAnsi="Avenir Next LT Pro" w:cs="Times New Roman"/>
          <w:color w:val="000000"/>
          <w:sz w:val="24"/>
          <w:szCs w:val="24"/>
        </w:rPr>
        <w:t>,</w:t>
      </w:r>
      <w:r>
        <w:rPr>
          <w:rFonts w:ascii="Avenir Next LT Pro" w:eastAsia="Times New Roman" w:hAnsi="Avenir Next LT Pro" w:cs="Times New Roman"/>
          <w:color w:val="000000"/>
          <w:sz w:val="24"/>
          <w:szCs w:val="24"/>
        </w:rPr>
        <w:t xml:space="preserve"> </w:t>
      </w:r>
      <w:r w:rsidR="009A21ED">
        <w:rPr>
          <w:rFonts w:ascii="Avenir Next LT Pro" w:eastAsia="Times New Roman" w:hAnsi="Avenir Next LT Pro" w:cs="Times New Roman"/>
          <w:color w:val="000000"/>
          <w:sz w:val="24"/>
          <w:szCs w:val="24"/>
        </w:rPr>
        <w:t>systemic inefficiency</w:t>
      </w:r>
      <w:r w:rsidR="00F92816">
        <w:rPr>
          <w:rFonts w:ascii="Avenir Next LT Pro" w:eastAsia="Times New Roman" w:hAnsi="Avenir Next LT Pro" w:cs="Times New Roman"/>
          <w:color w:val="000000"/>
          <w:sz w:val="24"/>
          <w:szCs w:val="24"/>
        </w:rPr>
        <w:t>,</w:t>
      </w:r>
      <w:r w:rsidR="009A21ED">
        <w:rPr>
          <w:rFonts w:ascii="Avenir Next LT Pro" w:eastAsia="Times New Roman" w:hAnsi="Avenir Next LT Pro" w:cs="Times New Roman"/>
          <w:color w:val="000000"/>
          <w:sz w:val="24"/>
          <w:szCs w:val="24"/>
        </w:rPr>
        <w:t xml:space="preserve"> and </w:t>
      </w:r>
      <w:r>
        <w:rPr>
          <w:rFonts w:ascii="Avenir Next LT Pro" w:eastAsia="Times New Roman" w:hAnsi="Avenir Next LT Pro" w:cs="Times New Roman"/>
          <w:color w:val="000000"/>
          <w:sz w:val="24"/>
          <w:szCs w:val="24"/>
        </w:rPr>
        <w:t xml:space="preserve">the diminished voice of a child is </w:t>
      </w:r>
      <w:r w:rsidR="003E0CA5">
        <w:rPr>
          <w:rFonts w:ascii="Avenir Next LT Pro" w:eastAsia="Times New Roman" w:hAnsi="Avenir Next LT Pro" w:cs="Times New Roman"/>
          <w:color w:val="000000"/>
          <w:sz w:val="24"/>
          <w:szCs w:val="24"/>
        </w:rPr>
        <w:t>concerning</w:t>
      </w:r>
      <w:r>
        <w:rPr>
          <w:rFonts w:ascii="Avenir Next LT Pro" w:eastAsia="Times New Roman" w:hAnsi="Avenir Next LT Pro" w:cs="Times New Roman"/>
          <w:color w:val="000000"/>
          <w:sz w:val="24"/>
          <w:szCs w:val="24"/>
        </w:rPr>
        <w:t xml:space="preserve"> </w:t>
      </w:r>
      <w:r w:rsidR="00F92816">
        <w:rPr>
          <w:rFonts w:ascii="Avenir Next LT Pro" w:eastAsia="Times New Roman" w:hAnsi="Avenir Next LT Pro" w:cs="Times New Roman"/>
          <w:color w:val="000000"/>
          <w:sz w:val="24"/>
          <w:szCs w:val="24"/>
        </w:rPr>
        <w:t xml:space="preserve">to </w:t>
      </w:r>
      <w:r>
        <w:rPr>
          <w:rFonts w:ascii="Avenir Next LT Pro" w:eastAsia="Times New Roman" w:hAnsi="Avenir Next LT Pro" w:cs="Times New Roman"/>
          <w:color w:val="000000"/>
          <w:sz w:val="24"/>
          <w:szCs w:val="24"/>
        </w:rPr>
        <w:t xml:space="preserve">the overall welfare and safety of a child. </w:t>
      </w:r>
      <w:r w:rsidR="00D043BA">
        <w:rPr>
          <w:rFonts w:ascii="Avenir Next LT Pro" w:eastAsia="Times New Roman" w:hAnsi="Avenir Next LT Pro" w:cs="Times New Roman"/>
          <w:color w:val="000000"/>
          <w:sz w:val="24"/>
          <w:szCs w:val="24"/>
        </w:rPr>
        <w:t xml:space="preserve">The structural issues should be addressed. </w:t>
      </w:r>
    </w:p>
    <w:p w14:paraId="28D55816" w14:textId="77777777" w:rsidR="009E79B1" w:rsidRDefault="009E79B1" w:rsidP="007B425F">
      <w:pPr>
        <w:jc w:val="both"/>
        <w:rPr>
          <w:rFonts w:ascii="Avenir Next LT Pro" w:eastAsia="Times New Roman" w:hAnsi="Avenir Next LT Pro" w:cs="Times New Roman"/>
          <w:color w:val="000000"/>
          <w:sz w:val="24"/>
          <w:szCs w:val="24"/>
        </w:rPr>
      </w:pPr>
    </w:p>
    <w:p w14:paraId="26E73EC2" w14:textId="22B8DBCF" w:rsidR="00D02B8B" w:rsidRDefault="00D043BA"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T</w:t>
      </w:r>
      <w:r w:rsidR="003A3F74">
        <w:rPr>
          <w:rFonts w:ascii="Avenir Next LT Pro" w:eastAsia="Times New Roman" w:hAnsi="Avenir Next LT Pro" w:cs="Times New Roman"/>
          <w:color w:val="000000"/>
          <w:sz w:val="24"/>
          <w:szCs w:val="24"/>
        </w:rPr>
        <w:t xml:space="preserve">here are multiple ways of structuring </w:t>
      </w:r>
      <w:r w:rsidR="00BC6B16">
        <w:rPr>
          <w:rFonts w:ascii="Avenir Next LT Pro" w:eastAsia="Times New Roman" w:hAnsi="Avenir Next LT Pro" w:cs="Times New Roman"/>
          <w:color w:val="000000"/>
          <w:sz w:val="24"/>
          <w:szCs w:val="24"/>
        </w:rPr>
        <w:t xml:space="preserve">child representation in juvenile court. For example, </w:t>
      </w:r>
      <w:r w:rsidR="00E16072">
        <w:rPr>
          <w:rFonts w:ascii="Avenir Next LT Pro" w:eastAsia="Times New Roman" w:hAnsi="Avenir Next LT Pro" w:cs="Times New Roman"/>
          <w:color w:val="000000"/>
          <w:sz w:val="24"/>
          <w:szCs w:val="24"/>
        </w:rPr>
        <w:t>one model that the Center is currently watching was recently created in New Mexico</w:t>
      </w:r>
      <w:r w:rsidR="00911F3B">
        <w:rPr>
          <w:rFonts w:ascii="Avenir Next LT Pro" w:eastAsia="Times New Roman" w:hAnsi="Avenir Next LT Pro" w:cs="Times New Roman"/>
          <w:color w:val="000000"/>
          <w:sz w:val="24"/>
          <w:szCs w:val="24"/>
        </w:rPr>
        <w:t xml:space="preserve"> –</w:t>
      </w:r>
      <w:r w:rsidR="00E16072">
        <w:rPr>
          <w:rFonts w:ascii="Avenir Next LT Pro" w:eastAsia="Times New Roman" w:hAnsi="Avenir Next LT Pro" w:cs="Times New Roman"/>
          <w:color w:val="000000"/>
          <w:sz w:val="24"/>
          <w:szCs w:val="24"/>
        </w:rPr>
        <w:t xml:space="preserve"> </w:t>
      </w:r>
      <w:r w:rsidR="00BC6B16">
        <w:rPr>
          <w:rFonts w:ascii="Avenir Next LT Pro" w:eastAsia="Times New Roman" w:hAnsi="Avenir Next LT Pro" w:cs="Times New Roman"/>
          <w:color w:val="000000"/>
          <w:sz w:val="24"/>
          <w:szCs w:val="24"/>
        </w:rPr>
        <w:t>a</w:t>
      </w:r>
      <w:r w:rsidR="00911F3B">
        <w:rPr>
          <w:rFonts w:ascii="Avenir Next LT Pro" w:eastAsia="Times New Roman" w:hAnsi="Avenir Next LT Pro" w:cs="Times New Roman"/>
          <w:color w:val="000000"/>
          <w:sz w:val="24"/>
          <w:szCs w:val="24"/>
        </w:rPr>
        <w:t xml:space="preserve"> </w:t>
      </w:r>
      <w:r w:rsidR="00BC6B16">
        <w:rPr>
          <w:rFonts w:ascii="Avenir Next LT Pro" w:eastAsia="Times New Roman" w:hAnsi="Avenir Next LT Pro" w:cs="Times New Roman"/>
          <w:color w:val="000000"/>
          <w:sz w:val="24"/>
          <w:szCs w:val="24"/>
        </w:rPr>
        <w:t>statewide</w:t>
      </w:r>
      <w:r w:rsidR="007F65BF">
        <w:rPr>
          <w:rFonts w:ascii="Avenir Next LT Pro" w:eastAsia="Times New Roman" w:hAnsi="Avenir Next LT Pro" w:cs="Times New Roman"/>
          <w:color w:val="000000"/>
          <w:sz w:val="24"/>
          <w:szCs w:val="24"/>
        </w:rPr>
        <w:t xml:space="preserve"> </w:t>
      </w:r>
      <w:r w:rsidR="007F65BF">
        <w:rPr>
          <w:rFonts w:ascii="Avenir Next LT Pro" w:eastAsia="Times New Roman" w:hAnsi="Avenir Next LT Pro" w:cs="Times New Roman"/>
          <w:i/>
          <w:iCs/>
          <w:color w:val="000000"/>
          <w:sz w:val="24"/>
          <w:szCs w:val="24"/>
        </w:rPr>
        <w:t>Office of Family Representation</w:t>
      </w:r>
      <w:r w:rsidR="00ED1ADB">
        <w:rPr>
          <w:rFonts w:ascii="Avenir Next LT Pro" w:eastAsia="Times New Roman" w:hAnsi="Avenir Next LT Pro" w:cs="Times New Roman"/>
          <w:i/>
          <w:iCs/>
          <w:color w:val="000000"/>
          <w:sz w:val="24"/>
          <w:szCs w:val="24"/>
        </w:rPr>
        <w:t xml:space="preserve"> and Advocacy</w:t>
      </w:r>
      <w:r w:rsidR="00911F3B">
        <w:rPr>
          <w:rFonts w:ascii="Avenir Next LT Pro" w:eastAsia="Times New Roman" w:hAnsi="Avenir Next LT Pro" w:cs="Times New Roman"/>
          <w:i/>
          <w:iCs/>
          <w:color w:val="000000"/>
          <w:sz w:val="24"/>
          <w:szCs w:val="24"/>
        </w:rPr>
        <w:t xml:space="preserve"> </w:t>
      </w:r>
      <w:r w:rsidR="00911F3B">
        <w:rPr>
          <w:rFonts w:ascii="Avenir Next LT Pro" w:eastAsia="Times New Roman" w:hAnsi="Avenir Next LT Pro" w:cs="Times New Roman"/>
          <w:color w:val="000000"/>
          <w:sz w:val="24"/>
          <w:szCs w:val="24"/>
        </w:rPr>
        <w:t>(OFRA)</w:t>
      </w:r>
      <w:r w:rsidR="00ED1ADB">
        <w:rPr>
          <w:rFonts w:ascii="Avenir Next LT Pro" w:eastAsia="Times New Roman" w:hAnsi="Avenir Next LT Pro" w:cs="Times New Roman"/>
          <w:color w:val="000000"/>
          <w:sz w:val="24"/>
          <w:szCs w:val="24"/>
        </w:rPr>
        <w:t>.</w:t>
      </w:r>
    </w:p>
    <w:p w14:paraId="0C8422C4" w14:textId="77777777" w:rsidR="009E79B1" w:rsidRDefault="009E79B1" w:rsidP="007B425F">
      <w:pPr>
        <w:jc w:val="both"/>
        <w:rPr>
          <w:rFonts w:ascii="Avenir Next LT Pro" w:eastAsia="Times New Roman" w:hAnsi="Avenir Next LT Pro" w:cs="Times New Roman"/>
          <w:color w:val="000000"/>
          <w:sz w:val="24"/>
          <w:szCs w:val="24"/>
        </w:rPr>
      </w:pPr>
    </w:p>
    <w:p w14:paraId="4BC41377" w14:textId="1BA10D33" w:rsidR="00A80742" w:rsidRDefault="002B1848" w:rsidP="007B425F">
      <w:pPr>
        <w:jc w:val="both"/>
        <w:rPr>
          <w:rFonts w:ascii="Avenir Next LT Pro" w:eastAsia="Times New Roman" w:hAnsi="Avenir Next LT Pro" w:cs="Times New Roman"/>
          <w:color w:val="000000"/>
          <w:sz w:val="24"/>
          <w:szCs w:val="24"/>
        </w:rPr>
      </w:pPr>
      <w:proofErr w:type="gramStart"/>
      <w:r w:rsidRPr="002B1848">
        <w:rPr>
          <w:rFonts w:ascii="Avenir Next LT Pro" w:eastAsia="Times New Roman" w:hAnsi="Avenir Next LT Pro" w:cs="Times New Roman"/>
          <w:color w:val="000000"/>
          <w:sz w:val="24"/>
          <w:szCs w:val="24"/>
        </w:rPr>
        <w:t>OFRA,</w:t>
      </w:r>
      <w:proofErr w:type="gramEnd"/>
      <w:r w:rsidRPr="002B1848">
        <w:rPr>
          <w:rFonts w:ascii="Avenir Next LT Pro" w:eastAsia="Times New Roman" w:hAnsi="Avenir Next LT Pro" w:cs="Times New Roman"/>
          <w:color w:val="000000"/>
          <w:sz w:val="24"/>
          <w:szCs w:val="24"/>
        </w:rPr>
        <w:t xml:space="preserve"> is an instrumentality of the executive branch, though not administratively attached to any other department. </w:t>
      </w:r>
      <w:r w:rsidR="00A80742" w:rsidRPr="002B1848">
        <w:rPr>
          <w:rFonts w:ascii="Avenir Next LT Pro" w:eastAsia="Times New Roman" w:hAnsi="Avenir Next LT Pro" w:cs="Times New Roman"/>
          <w:color w:val="000000"/>
          <w:sz w:val="24"/>
          <w:szCs w:val="24"/>
        </w:rPr>
        <w:t>Oversight is provided by the Family Representation and Advocacy Commission (Commission).</w:t>
      </w:r>
      <w:r w:rsidR="00A80742">
        <w:rPr>
          <w:rFonts w:ascii="Avenir Next LT Pro" w:eastAsia="Times New Roman" w:hAnsi="Avenir Next LT Pro" w:cs="Times New Roman"/>
          <w:color w:val="000000"/>
          <w:sz w:val="24"/>
          <w:szCs w:val="24"/>
        </w:rPr>
        <w:t xml:space="preserve"> OFRA</w:t>
      </w:r>
      <w:r w:rsidRPr="002B1848">
        <w:rPr>
          <w:rFonts w:ascii="Avenir Next LT Pro" w:eastAsia="Times New Roman" w:hAnsi="Avenir Next LT Pro" w:cs="Times New Roman"/>
          <w:color w:val="000000"/>
          <w:sz w:val="24"/>
          <w:szCs w:val="24"/>
        </w:rPr>
        <w:t xml:space="preserve"> possesses policymaking and administrative autonomy.</w:t>
      </w:r>
      <w:r w:rsidR="00781751">
        <w:rPr>
          <w:rStyle w:val="FootnoteReference"/>
          <w:rFonts w:ascii="Avenir Next LT Pro" w:eastAsia="Times New Roman" w:hAnsi="Avenir Next LT Pro" w:cs="Times New Roman"/>
          <w:color w:val="000000"/>
          <w:sz w:val="24"/>
          <w:szCs w:val="24"/>
        </w:rPr>
        <w:footnoteReference w:id="35"/>
      </w:r>
      <w:r w:rsidRPr="002B1848">
        <w:rPr>
          <w:rFonts w:ascii="Avenir Next LT Pro" w:eastAsia="Times New Roman" w:hAnsi="Avenir Next LT Pro" w:cs="Times New Roman"/>
          <w:color w:val="000000"/>
          <w:sz w:val="24"/>
          <w:szCs w:val="24"/>
        </w:rPr>
        <w:t xml:space="preserve"> It is funded by the state. </w:t>
      </w:r>
    </w:p>
    <w:p w14:paraId="7602ABBE" w14:textId="77777777" w:rsidR="009E79B1" w:rsidRDefault="009E79B1" w:rsidP="007B425F">
      <w:pPr>
        <w:jc w:val="both"/>
        <w:rPr>
          <w:rFonts w:ascii="Avenir Next LT Pro" w:eastAsia="Times New Roman" w:hAnsi="Avenir Next LT Pro" w:cs="Times New Roman"/>
          <w:color w:val="000000"/>
          <w:sz w:val="24"/>
          <w:szCs w:val="24"/>
        </w:rPr>
      </w:pPr>
    </w:p>
    <w:p w14:paraId="5E1F2BB7" w14:textId="44366663" w:rsidR="002B1848" w:rsidRPr="002B1848" w:rsidRDefault="002B1848" w:rsidP="007B425F">
      <w:p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Duties of OFRA include:</w:t>
      </w:r>
    </w:p>
    <w:p w14:paraId="6CDCE1CC" w14:textId="77777777" w:rsidR="002B1848" w:rsidRPr="002B1848" w:rsidRDefault="002B1848" w:rsidP="007B425F">
      <w:pPr>
        <w:numPr>
          <w:ilvl w:val="0"/>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Working with the Children, Youth and Families Department (CYFD) to leverage IV-E funding,</w:t>
      </w:r>
    </w:p>
    <w:p w14:paraId="70CF3289" w14:textId="77777777" w:rsidR="002B1848" w:rsidRPr="002B1848" w:rsidRDefault="002B1848" w:rsidP="007B425F">
      <w:pPr>
        <w:numPr>
          <w:ilvl w:val="0"/>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Appointing, compensating, evaluating, and retaining attorneys for </w:t>
      </w:r>
    </w:p>
    <w:p w14:paraId="57D2B378" w14:textId="77777777" w:rsidR="002B1848" w:rsidRPr="002B1848" w:rsidRDefault="002B1848" w:rsidP="007B425F">
      <w:pPr>
        <w:numPr>
          <w:ilvl w:val="1"/>
          <w:numId w:val="14"/>
        </w:numPr>
        <w:jc w:val="both"/>
        <w:rPr>
          <w:rFonts w:ascii="Avenir Next LT Pro" w:eastAsia="Times New Roman" w:hAnsi="Avenir Next LT Pro" w:cs="Times New Roman"/>
          <w:color w:val="000000"/>
          <w:sz w:val="24"/>
          <w:szCs w:val="24"/>
        </w:rPr>
      </w:pPr>
      <w:hyperlink r:id="rId12" w:history="1">
        <w:r w:rsidRPr="002B1848">
          <w:rPr>
            <w:rStyle w:val="Hyperlink"/>
            <w:rFonts w:ascii="Avenir Next LT Pro" w:eastAsia="Times New Roman" w:hAnsi="Avenir Next LT Pro" w:cs="Times New Roman"/>
            <w:sz w:val="24"/>
            <w:szCs w:val="24"/>
          </w:rPr>
          <w:t>Eligible adults</w:t>
        </w:r>
      </w:hyperlink>
      <w:r w:rsidRPr="002B1848">
        <w:rPr>
          <w:rFonts w:ascii="Avenir Next LT Pro" w:eastAsia="Times New Roman" w:hAnsi="Avenir Next LT Pro" w:cs="Times New Roman"/>
          <w:color w:val="000000"/>
          <w:sz w:val="24"/>
          <w:szCs w:val="24"/>
        </w:rPr>
        <w:t xml:space="preserve"> under the Fostering Connections Act (extended foster care), and</w:t>
      </w:r>
    </w:p>
    <w:p w14:paraId="493BEC9E" w14:textId="77777777" w:rsidR="002B1848" w:rsidRPr="002B1848" w:rsidRDefault="002B1848" w:rsidP="007B425F">
      <w:pPr>
        <w:numPr>
          <w:ilvl w:val="1"/>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Children, and</w:t>
      </w:r>
    </w:p>
    <w:p w14:paraId="1AF14410" w14:textId="77777777" w:rsidR="002B1848" w:rsidRPr="002B1848" w:rsidRDefault="002B1848" w:rsidP="007B425F">
      <w:pPr>
        <w:numPr>
          <w:ilvl w:val="1"/>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Parents, custodians, or guardians whose children are or are “at risk of being placed” in state custody.</w:t>
      </w:r>
    </w:p>
    <w:p w14:paraId="34CCEB69" w14:textId="77777777" w:rsidR="002B1848" w:rsidRPr="002B1848" w:rsidRDefault="002B1848" w:rsidP="007B425F">
      <w:pPr>
        <w:numPr>
          <w:ilvl w:val="0"/>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Establishing an appellate division led by a chief appellate </w:t>
      </w:r>
      <w:proofErr w:type="gramStart"/>
      <w:r w:rsidRPr="002B1848">
        <w:rPr>
          <w:rFonts w:ascii="Avenir Next LT Pro" w:eastAsia="Times New Roman" w:hAnsi="Avenir Next LT Pro" w:cs="Times New Roman"/>
          <w:color w:val="000000"/>
          <w:sz w:val="24"/>
          <w:szCs w:val="24"/>
        </w:rPr>
        <w:t>attorney</w:t>
      </w:r>
      <w:proofErr w:type="gramEnd"/>
    </w:p>
    <w:p w14:paraId="346FED91" w14:textId="77777777" w:rsidR="002B1848" w:rsidRPr="002B1848" w:rsidRDefault="002B1848" w:rsidP="007B425F">
      <w:pPr>
        <w:numPr>
          <w:ilvl w:val="1"/>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lastRenderedPageBreak/>
        <w:t xml:space="preserve">This division provides representation before the Court of Appeals and the Supreme Court in proceedings involving persons represented by the office pursuant to the Act. </w:t>
      </w:r>
    </w:p>
    <w:p w14:paraId="44F9A606" w14:textId="77777777" w:rsidR="002B1848" w:rsidRPr="002B1848" w:rsidRDefault="002B1848" w:rsidP="007B425F">
      <w:pPr>
        <w:numPr>
          <w:ilvl w:val="0"/>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Establishing at least five regional offices that align with CYFD’s regional offices spread geographically across the state.</w:t>
      </w:r>
    </w:p>
    <w:p w14:paraId="3862FF8F" w14:textId="77777777" w:rsidR="002B1848" w:rsidRPr="002B1848" w:rsidRDefault="002B1848" w:rsidP="007B425F">
      <w:pPr>
        <w:numPr>
          <w:ilvl w:val="1"/>
          <w:numId w:val="14"/>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Each regional office is managed by an attorney that serves as the regional manager. </w:t>
      </w:r>
    </w:p>
    <w:p w14:paraId="5684FA0A" w14:textId="77777777" w:rsidR="009E79B1" w:rsidRDefault="009E79B1" w:rsidP="007B425F">
      <w:pPr>
        <w:jc w:val="both"/>
        <w:rPr>
          <w:rFonts w:ascii="Avenir Next LT Pro" w:eastAsia="Times New Roman" w:hAnsi="Avenir Next LT Pro" w:cs="Times New Roman"/>
          <w:color w:val="000000"/>
          <w:sz w:val="24"/>
          <w:szCs w:val="24"/>
        </w:rPr>
      </w:pPr>
    </w:p>
    <w:p w14:paraId="48F2E073" w14:textId="5F8398AC" w:rsidR="002B1848" w:rsidRPr="002B1848" w:rsidRDefault="002B1848" w:rsidP="007B425F">
      <w:p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OFRA will be headed by a director, appointed by the Commission. </w:t>
      </w:r>
    </w:p>
    <w:p w14:paraId="28996AE7" w14:textId="77777777" w:rsidR="002B1848" w:rsidRPr="002B1848" w:rsidRDefault="002B1848" w:rsidP="007B425F">
      <w:pPr>
        <w:jc w:val="both"/>
        <w:rPr>
          <w:rFonts w:ascii="Avenir Next LT Pro" w:eastAsia="Times New Roman" w:hAnsi="Avenir Next LT Pro" w:cs="Times New Roman"/>
          <w:color w:val="000000"/>
          <w:sz w:val="24"/>
          <w:szCs w:val="24"/>
        </w:rPr>
      </w:pPr>
    </w:p>
    <w:p w14:paraId="20A6F291" w14:textId="77777777" w:rsidR="002B1848" w:rsidRPr="002B1848" w:rsidRDefault="002B1848" w:rsidP="007B425F">
      <w:p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The director is responsible </w:t>
      </w:r>
      <w:proofErr w:type="gramStart"/>
      <w:r w:rsidRPr="002B1848">
        <w:rPr>
          <w:rFonts w:ascii="Avenir Next LT Pro" w:eastAsia="Times New Roman" w:hAnsi="Avenir Next LT Pro" w:cs="Times New Roman"/>
          <w:color w:val="000000"/>
          <w:sz w:val="24"/>
          <w:szCs w:val="24"/>
        </w:rPr>
        <w:t>to</w:t>
      </w:r>
      <w:proofErr w:type="gramEnd"/>
      <w:r w:rsidRPr="002B1848">
        <w:rPr>
          <w:rFonts w:ascii="Avenir Next LT Pro" w:eastAsia="Times New Roman" w:hAnsi="Avenir Next LT Pro" w:cs="Times New Roman"/>
          <w:color w:val="000000"/>
          <w:sz w:val="24"/>
          <w:szCs w:val="24"/>
        </w:rPr>
        <w:t xml:space="preserve"> the Commission for the operation of OFRA and manages all operations of the office. In addition to the general management and operation OFRA, the director sets standards relating to the experience, training, qualifications, monitoring, evaluating, caseloads, workloads, and competent and efficient representation for contract and staff attorneys and employees. Among other duties, the director is to research ways to improve the operation of the office and provide courses of instruction and practical training for employees. The director must also collect and analyze statistical data, including for child and family outcomes and the effectiveness of OFRA. </w:t>
      </w:r>
    </w:p>
    <w:p w14:paraId="3FB46590" w14:textId="77777777" w:rsidR="002B1848" w:rsidRPr="002B1848" w:rsidRDefault="002B1848" w:rsidP="007B425F">
      <w:pPr>
        <w:jc w:val="both"/>
        <w:rPr>
          <w:rFonts w:ascii="Avenir Next LT Pro" w:eastAsia="Times New Roman" w:hAnsi="Avenir Next LT Pro" w:cs="Times New Roman"/>
          <w:color w:val="000000"/>
          <w:sz w:val="24"/>
          <w:szCs w:val="24"/>
        </w:rPr>
      </w:pPr>
    </w:p>
    <w:p w14:paraId="06A92AB2" w14:textId="77777777" w:rsidR="002B1848" w:rsidRPr="002B1848" w:rsidRDefault="002B1848" w:rsidP="007B425F">
      <w:p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The Commission is composed of 13 members as follows:</w:t>
      </w:r>
    </w:p>
    <w:p w14:paraId="22D798ED"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The Director of UNM Law School’s Corinne Wolfe Center for Child and Family Justice</w:t>
      </w:r>
    </w:p>
    <w:p w14:paraId="441280A8"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The Director of the Administrative Office of the Courts’ Improvement Project</w:t>
      </w:r>
    </w:p>
    <w:p w14:paraId="14DE8E97"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Dean of the NMSU or NMHU school of social work</w:t>
      </w:r>
    </w:p>
    <w:p w14:paraId="3910FD5D"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Three members appointed by the governor who demonstrate a commitment to high-quality legal </w:t>
      </w:r>
      <w:proofErr w:type="gramStart"/>
      <w:r w:rsidRPr="002B1848">
        <w:rPr>
          <w:rFonts w:ascii="Avenir Next LT Pro" w:eastAsia="Times New Roman" w:hAnsi="Avenir Next LT Pro" w:cs="Times New Roman"/>
          <w:color w:val="000000"/>
          <w:sz w:val="24"/>
          <w:szCs w:val="24"/>
        </w:rPr>
        <w:t>representation</w:t>
      </w:r>
      <w:proofErr w:type="gramEnd"/>
      <w:r w:rsidRPr="002B1848">
        <w:rPr>
          <w:rFonts w:ascii="Avenir Next LT Pro" w:eastAsia="Times New Roman" w:hAnsi="Avenir Next LT Pro" w:cs="Times New Roman"/>
          <w:color w:val="000000"/>
          <w:sz w:val="24"/>
          <w:szCs w:val="24"/>
        </w:rPr>
        <w:t xml:space="preserve"> </w:t>
      </w:r>
    </w:p>
    <w:p w14:paraId="5BD4AFB3"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Five members appointed by the Chief Justice of the Supreme Court </w:t>
      </w:r>
    </w:p>
    <w:p w14:paraId="09655AD8" w14:textId="77777777" w:rsidR="002B1848" w:rsidRPr="002B1848" w:rsidRDefault="002B1848" w:rsidP="007B425F">
      <w:pPr>
        <w:numPr>
          <w:ilvl w:val="1"/>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Two former children’s’ court judges or attorneys in the child welfare system, </w:t>
      </w:r>
    </w:p>
    <w:p w14:paraId="105ACAC4" w14:textId="77777777" w:rsidR="002B1848" w:rsidRPr="002B1848" w:rsidRDefault="002B1848" w:rsidP="007B425F">
      <w:pPr>
        <w:numPr>
          <w:ilvl w:val="1"/>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one youth with experience in CYFD custody, </w:t>
      </w:r>
    </w:p>
    <w:p w14:paraId="062180D2" w14:textId="77777777" w:rsidR="002B1848" w:rsidRPr="002B1848" w:rsidRDefault="002B1848" w:rsidP="007B425F">
      <w:pPr>
        <w:numPr>
          <w:ilvl w:val="1"/>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a parent who had children in CYFD custody, and </w:t>
      </w:r>
    </w:p>
    <w:p w14:paraId="4E57B3EE" w14:textId="77777777" w:rsidR="002B1848" w:rsidRPr="002B1848" w:rsidRDefault="002B1848" w:rsidP="007B425F">
      <w:pPr>
        <w:numPr>
          <w:ilvl w:val="1"/>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another person with experience as a parent or a youth with CYFD or another child welfare agency</w:t>
      </w:r>
    </w:p>
    <w:p w14:paraId="159EA1C8"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An appointee of the Speaker of the House</w:t>
      </w:r>
    </w:p>
    <w:p w14:paraId="01B133DA" w14:textId="77777777" w:rsidR="002B1848" w:rsidRPr="002B1848" w:rsidRDefault="002B1848" w:rsidP="007B425F">
      <w:pPr>
        <w:numPr>
          <w:ilvl w:val="0"/>
          <w:numId w:val="15"/>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An Appointee of the President Pro Tempore of the Senate</w:t>
      </w:r>
    </w:p>
    <w:p w14:paraId="061EDC89" w14:textId="77777777" w:rsidR="002B1848" w:rsidRPr="002B1848" w:rsidRDefault="002B1848" w:rsidP="007B425F">
      <w:pPr>
        <w:jc w:val="both"/>
        <w:rPr>
          <w:rFonts w:ascii="Avenir Next LT Pro" w:eastAsia="Times New Roman" w:hAnsi="Avenir Next LT Pro" w:cs="Times New Roman"/>
          <w:color w:val="000000"/>
          <w:sz w:val="24"/>
          <w:szCs w:val="24"/>
        </w:rPr>
      </w:pPr>
    </w:p>
    <w:p w14:paraId="68FF18EF" w14:textId="77777777" w:rsidR="002B1848" w:rsidRPr="002B1848" w:rsidRDefault="002B1848" w:rsidP="007B425F">
      <w:p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The Commission is required to meet at least four times per year. The commission has rulemaking authority and must keep a record of its proceedings. The Commission’s Duties include:</w:t>
      </w:r>
    </w:p>
    <w:p w14:paraId="1D6C7D41" w14:textId="77777777" w:rsidR="002B1848" w:rsidRPr="002B1848" w:rsidRDefault="002B1848" w:rsidP="007B425F">
      <w:pPr>
        <w:numPr>
          <w:ilvl w:val="0"/>
          <w:numId w:val="16"/>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lastRenderedPageBreak/>
        <w:t xml:space="preserve">Independent oversight of OFRA to review and approve standards and provide guidance and support to the </w:t>
      </w:r>
      <w:proofErr w:type="gramStart"/>
      <w:r w:rsidRPr="002B1848">
        <w:rPr>
          <w:rFonts w:ascii="Avenir Next LT Pro" w:eastAsia="Times New Roman" w:hAnsi="Avenir Next LT Pro" w:cs="Times New Roman"/>
          <w:color w:val="000000"/>
          <w:sz w:val="24"/>
          <w:szCs w:val="24"/>
        </w:rPr>
        <w:t>Director</w:t>
      </w:r>
      <w:proofErr w:type="gramEnd"/>
    </w:p>
    <w:p w14:paraId="660DFB81" w14:textId="77777777" w:rsidR="002B1848" w:rsidRPr="002B1848" w:rsidRDefault="002B1848" w:rsidP="007B425F">
      <w:pPr>
        <w:numPr>
          <w:ilvl w:val="0"/>
          <w:numId w:val="16"/>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Review and approve policies for operating OFRA and providing services eligible adults and </w:t>
      </w:r>
      <w:proofErr w:type="gramStart"/>
      <w:r w:rsidRPr="002B1848">
        <w:rPr>
          <w:rFonts w:ascii="Avenir Next LT Pro" w:eastAsia="Times New Roman" w:hAnsi="Avenir Next LT Pro" w:cs="Times New Roman"/>
          <w:color w:val="000000"/>
          <w:sz w:val="24"/>
          <w:szCs w:val="24"/>
        </w:rPr>
        <w:t>children</w:t>
      </w:r>
      <w:proofErr w:type="gramEnd"/>
      <w:r w:rsidRPr="002B1848">
        <w:rPr>
          <w:rFonts w:ascii="Avenir Next LT Pro" w:eastAsia="Times New Roman" w:hAnsi="Avenir Next LT Pro" w:cs="Times New Roman"/>
          <w:color w:val="000000"/>
          <w:sz w:val="24"/>
          <w:szCs w:val="24"/>
        </w:rPr>
        <w:t xml:space="preserve"> </w:t>
      </w:r>
    </w:p>
    <w:p w14:paraId="41767C59" w14:textId="77777777" w:rsidR="002B1848" w:rsidRPr="002B1848" w:rsidRDefault="002B1848" w:rsidP="007B425F">
      <w:pPr>
        <w:numPr>
          <w:ilvl w:val="0"/>
          <w:numId w:val="16"/>
        </w:numPr>
        <w:jc w:val="both"/>
        <w:rPr>
          <w:rFonts w:ascii="Avenir Next LT Pro" w:eastAsia="Times New Roman" w:hAnsi="Avenir Next LT Pro" w:cs="Times New Roman"/>
          <w:color w:val="000000"/>
          <w:sz w:val="24"/>
          <w:szCs w:val="24"/>
        </w:rPr>
      </w:pPr>
      <w:r w:rsidRPr="002B1848">
        <w:rPr>
          <w:rFonts w:ascii="Avenir Next LT Pro" w:eastAsia="Times New Roman" w:hAnsi="Avenir Next LT Pro" w:cs="Times New Roman"/>
          <w:color w:val="000000"/>
          <w:sz w:val="24"/>
          <w:szCs w:val="24"/>
        </w:rPr>
        <w:t xml:space="preserve">However, the Commission is prohibited from interfering with the discretion, professional judgment, or advocacy of attorneys, contract employees, or office staff in representing and advocating for a client. </w:t>
      </w:r>
    </w:p>
    <w:p w14:paraId="500D4977" w14:textId="77777777" w:rsidR="002B1848" w:rsidRDefault="002B1848" w:rsidP="007B425F">
      <w:pPr>
        <w:jc w:val="both"/>
        <w:rPr>
          <w:rFonts w:ascii="Avenir Next LT Pro" w:eastAsia="Times New Roman" w:hAnsi="Avenir Next LT Pro" w:cs="Times New Roman"/>
          <w:color w:val="000000"/>
          <w:sz w:val="24"/>
          <w:szCs w:val="24"/>
        </w:rPr>
      </w:pPr>
    </w:p>
    <w:p w14:paraId="268A854B" w14:textId="77777777" w:rsidR="002B1848" w:rsidRPr="00ED1ADB" w:rsidRDefault="002B1848" w:rsidP="007B425F">
      <w:pPr>
        <w:jc w:val="both"/>
        <w:rPr>
          <w:rFonts w:ascii="Avenir Next LT Pro" w:eastAsia="Times New Roman" w:hAnsi="Avenir Next LT Pro" w:cs="Times New Roman"/>
          <w:color w:val="000000"/>
          <w:sz w:val="24"/>
          <w:szCs w:val="24"/>
        </w:rPr>
      </w:pPr>
    </w:p>
    <w:p w14:paraId="36D9F44F" w14:textId="788B0CFF" w:rsidR="00D02B8B" w:rsidRPr="00F64151" w:rsidRDefault="00D02B8B" w:rsidP="007B425F">
      <w:pPr>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b/>
          <w:bCs/>
          <w:color w:val="000000"/>
          <w:sz w:val="24"/>
          <w:szCs w:val="24"/>
        </w:rPr>
        <w:t>Will this pose an existential threat to existing programs?</w:t>
      </w:r>
    </w:p>
    <w:p w14:paraId="3D559508" w14:textId="1C20BF85" w:rsidR="00F64151" w:rsidRPr="00F64151" w:rsidRDefault="00141B62" w:rsidP="007B425F">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Cost of this program if structured correctly, should not cost more than the current structure </w:t>
      </w:r>
      <w:r w:rsidR="00002190">
        <w:rPr>
          <w:rFonts w:ascii="Avenir Next LT Pro" w:eastAsia="Times New Roman" w:hAnsi="Avenir Next LT Pro" w:cs="Times New Roman"/>
          <w:color w:val="000000"/>
          <w:sz w:val="24"/>
          <w:szCs w:val="24"/>
        </w:rPr>
        <w:t xml:space="preserve">utilizing GALs. We recognize that there may be counties that do an excellent job and do represent children in the role of a client-directed attorney. This change will expand this model and afford the same voice and the same quality representation training to all children throughout the state. Additionally, the state can better leverage federal funding </w:t>
      </w:r>
      <w:r w:rsidR="007B425F">
        <w:rPr>
          <w:rFonts w:ascii="Avenir Next LT Pro" w:eastAsia="Times New Roman" w:hAnsi="Avenir Next LT Pro" w:cs="Times New Roman"/>
          <w:color w:val="000000"/>
          <w:sz w:val="24"/>
          <w:szCs w:val="24"/>
        </w:rPr>
        <w:t>to improve legal representation of children, including pre-petition legal services.</w:t>
      </w:r>
      <w:r w:rsidR="00002190">
        <w:rPr>
          <w:rFonts w:ascii="Avenir Next LT Pro" w:eastAsia="Times New Roman" w:hAnsi="Avenir Next LT Pro" w:cs="Times New Roman"/>
          <w:color w:val="000000"/>
          <w:sz w:val="24"/>
          <w:szCs w:val="24"/>
        </w:rPr>
        <w:t xml:space="preserve"> </w:t>
      </w:r>
    </w:p>
    <w:p w14:paraId="17431ED6" w14:textId="77777777" w:rsidR="00F64151" w:rsidRPr="00F64151" w:rsidRDefault="00F64151" w:rsidP="00F64151">
      <w:pPr>
        <w:spacing w:after="160"/>
        <w:jc w:val="both"/>
        <w:rPr>
          <w:rFonts w:ascii="Avenir Next LT Pro" w:eastAsia="Times New Roman" w:hAnsi="Avenir Next LT Pro" w:cs="Times New Roman"/>
          <w:color w:val="000000"/>
          <w:sz w:val="24"/>
          <w:szCs w:val="24"/>
        </w:rPr>
      </w:pPr>
    </w:p>
    <w:p w14:paraId="0502C3CC" w14:textId="77777777" w:rsidR="00F64151" w:rsidRPr="00F64151" w:rsidRDefault="00F64151" w:rsidP="00F64151">
      <w:pPr>
        <w:spacing w:after="160"/>
        <w:jc w:val="both"/>
        <w:rPr>
          <w:rFonts w:ascii="Avenir Next LT Pro" w:eastAsia="Times New Roman" w:hAnsi="Avenir Next LT Pro" w:cs="Times New Roman"/>
          <w:color w:val="000000"/>
          <w:sz w:val="24"/>
          <w:szCs w:val="24"/>
        </w:rPr>
      </w:pPr>
    </w:p>
    <w:p w14:paraId="0F6D533A" w14:textId="6096E807" w:rsidR="00DF467D" w:rsidRPr="00CC6DB7" w:rsidRDefault="00DF467D" w:rsidP="00875B06">
      <w:pPr>
        <w:rPr>
          <w:rFonts w:ascii="Avenir Next LT Pro" w:hAnsi="Avenir Next LT Pro"/>
          <w:sz w:val="24"/>
          <w:szCs w:val="24"/>
        </w:rPr>
      </w:pPr>
    </w:p>
    <w:p w14:paraId="185037FA" w14:textId="77777777" w:rsidR="00875B06" w:rsidRPr="00CC6DB7" w:rsidRDefault="00875B06" w:rsidP="00875B06">
      <w:pPr>
        <w:rPr>
          <w:rFonts w:ascii="Avenir Next LT Pro" w:hAnsi="Avenir Next LT Pro"/>
          <w:sz w:val="24"/>
          <w:szCs w:val="24"/>
        </w:rPr>
      </w:pPr>
    </w:p>
    <w:sectPr w:rsidR="00875B06" w:rsidRPr="00CC6DB7" w:rsidSect="00C829DE">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97B4" w14:textId="77777777" w:rsidR="00B40A1A" w:rsidRDefault="00B40A1A" w:rsidP="00C829DE">
      <w:r>
        <w:separator/>
      </w:r>
    </w:p>
  </w:endnote>
  <w:endnote w:type="continuationSeparator" w:id="0">
    <w:p w14:paraId="43B2ED97" w14:textId="77777777" w:rsidR="00B40A1A" w:rsidRDefault="00B40A1A" w:rsidP="00C8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5D7" w14:textId="6E1959DB" w:rsidR="00FF7E5C" w:rsidRPr="00FF7E5C" w:rsidRDefault="00FF7E5C" w:rsidP="00FF7E5C">
    <w:pPr>
      <w:tabs>
        <w:tab w:val="center" w:pos="4680"/>
        <w:tab w:val="right" w:pos="9360"/>
      </w:tabs>
      <w:ind w:left="4680" w:hanging="4680"/>
      <w:jc w:val="center"/>
      <w:rPr>
        <w:rFonts w:ascii="Avenir Next" w:hAnsi="Avenir Next" w:cstheme="minorBidi"/>
        <w:sz w:val="18"/>
        <w:szCs w:val="18"/>
      </w:rPr>
    </w:pPr>
    <w:proofErr w:type="gramStart"/>
    <w:r w:rsidRPr="00FF7E5C">
      <w:rPr>
        <w:rFonts w:ascii="Avenir Next" w:hAnsi="Avenir Next" w:cstheme="minorBidi"/>
        <w:sz w:val="18"/>
        <w:szCs w:val="18"/>
      </w:rPr>
      <w:t>thecenterforchildren.org  |</w:t>
    </w:r>
    <w:proofErr w:type="gramEnd"/>
    <w:r w:rsidRPr="00FF7E5C">
      <w:rPr>
        <w:rFonts w:ascii="Avenir Next" w:hAnsi="Avenir Next" w:cstheme="minorBidi"/>
        <w:sz w:val="18"/>
        <w:szCs w:val="18"/>
      </w:rPr>
      <w:t xml:space="preserve">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4345" w14:textId="77777777" w:rsidR="00B40A1A" w:rsidRDefault="00B40A1A" w:rsidP="00C829DE">
      <w:r>
        <w:separator/>
      </w:r>
    </w:p>
  </w:footnote>
  <w:footnote w:type="continuationSeparator" w:id="0">
    <w:p w14:paraId="1BF15111" w14:textId="77777777" w:rsidR="00B40A1A" w:rsidRDefault="00B40A1A" w:rsidP="00C829DE">
      <w:r>
        <w:continuationSeparator/>
      </w:r>
    </w:p>
  </w:footnote>
  <w:footnote w:id="1">
    <w:p w14:paraId="69B969EE" w14:textId="72E6B183" w:rsidR="008B311F" w:rsidRDefault="008B311F" w:rsidP="008B311F">
      <w:pPr>
        <w:pStyle w:val="FootnoteText"/>
      </w:pPr>
      <w:r>
        <w:rPr>
          <w:rStyle w:val="FootnoteReference"/>
        </w:rPr>
        <w:footnoteRef/>
      </w:r>
      <w:r>
        <w:t xml:space="preserve"> </w:t>
      </w:r>
      <w:r w:rsidRPr="00477D19">
        <w:t>Mo. Ann. Stat. § 210.160</w:t>
      </w:r>
      <w:r>
        <w:t xml:space="preserve"> (</w:t>
      </w:r>
      <w:r w:rsidRPr="008B311F">
        <w:t>allow</w:t>
      </w:r>
      <w:r>
        <w:t>ing</w:t>
      </w:r>
      <w:r w:rsidRPr="008B311F">
        <w:t xml:space="preserve"> a judge to appoint </w:t>
      </w:r>
      <w:proofErr w:type="gramStart"/>
      <w:r w:rsidRPr="008B311F">
        <w:t>a guardian ad litem</w:t>
      </w:r>
      <w:proofErr w:type="gramEnd"/>
      <w:r w:rsidRPr="008B311F">
        <w:t xml:space="preserve"> to “appear for and represent” a child</w:t>
      </w:r>
      <w:r>
        <w:t>).</w:t>
      </w:r>
    </w:p>
  </w:footnote>
  <w:footnote w:id="2">
    <w:p w14:paraId="1D572FF0" w14:textId="499F11A3" w:rsidR="00FC27A9" w:rsidRPr="003B0657" w:rsidRDefault="00FC27A9" w:rsidP="00FC27A9">
      <w:pPr>
        <w:pStyle w:val="FootnoteText"/>
      </w:pPr>
      <w:r>
        <w:rPr>
          <w:rStyle w:val="FootnoteReference"/>
        </w:rPr>
        <w:footnoteRef/>
      </w:r>
      <w:r>
        <w:t xml:space="preserve"> </w:t>
      </w:r>
      <w:r w:rsidR="003E3778">
        <w:t xml:space="preserve">Missouri Courts, </w:t>
      </w:r>
      <w:r w:rsidR="005A253C" w:rsidRPr="003E3778">
        <w:rPr>
          <w:i/>
          <w:iCs/>
        </w:rPr>
        <w:t xml:space="preserve">Standards with Comments for Guardians Ad Litem in Juvenile </w:t>
      </w:r>
      <w:r w:rsidR="00A731AD" w:rsidRPr="003E3778">
        <w:rPr>
          <w:i/>
          <w:iCs/>
        </w:rPr>
        <w:t>and Family Court Division Matters</w:t>
      </w:r>
      <w:r w:rsidR="00A731AD">
        <w:t xml:space="preserve">, </w:t>
      </w:r>
      <w:r>
        <w:t>Standard 3.0</w:t>
      </w:r>
      <w:r w:rsidR="00991430">
        <w:t xml:space="preserve">, </w:t>
      </w:r>
      <w:r w:rsidR="00AC6EAE">
        <w:t>c</w:t>
      </w:r>
      <w:r w:rsidR="00991430">
        <w:t>omment</w:t>
      </w:r>
      <w:r w:rsidR="00AC6EAE">
        <w:t>,</w:t>
      </w:r>
      <w:r>
        <w:t xml:space="preserve"> </w:t>
      </w:r>
      <w:r>
        <w:rPr>
          <w:i/>
          <w:iCs/>
        </w:rPr>
        <w:t>available at</w:t>
      </w:r>
      <w:r>
        <w:t xml:space="preserve"> </w:t>
      </w:r>
      <w:hyperlink r:id="rId1" w:history="1">
        <w:r w:rsidRPr="007B37D4">
          <w:rPr>
            <w:rStyle w:val="Hyperlink"/>
          </w:rPr>
          <w:t>https://www.courts.mo.gov/file.jsp?id=63973</w:t>
        </w:r>
      </w:hyperlink>
      <w:r w:rsidR="00AC6EAE">
        <w:t>.</w:t>
      </w:r>
      <w:r>
        <w:t xml:space="preserve"> </w:t>
      </w:r>
    </w:p>
  </w:footnote>
  <w:footnote w:id="3">
    <w:p w14:paraId="4B467192" w14:textId="4C02416A" w:rsidR="00EA3803" w:rsidRPr="00EA3803" w:rsidRDefault="00EA3803">
      <w:pPr>
        <w:pStyle w:val="FootnoteText"/>
      </w:pPr>
      <w:r>
        <w:rPr>
          <w:rStyle w:val="FootnoteReference"/>
        </w:rPr>
        <w:footnoteRef/>
      </w:r>
      <w:r>
        <w:t xml:space="preserve"> </w:t>
      </w:r>
      <w:r>
        <w:rPr>
          <w:i/>
          <w:iCs/>
        </w:rPr>
        <w:t>Id</w:t>
      </w:r>
      <w:r>
        <w:t>.</w:t>
      </w:r>
    </w:p>
  </w:footnote>
  <w:footnote w:id="4">
    <w:p w14:paraId="104702A5" w14:textId="55B81C42" w:rsidR="008413F2" w:rsidRDefault="008413F2">
      <w:pPr>
        <w:pStyle w:val="FootnoteText"/>
      </w:pPr>
      <w:r>
        <w:rPr>
          <w:rStyle w:val="FootnoteReference"/>
        </w:rPr>
        <w:footnoteRef/>
      </w:r>
      <w:r>
        <w:t xml:space="preserve"> </w:t>
      </w:r>
      <w:r>
        <w:rPr>
          <w:i/>
          <w:iCs/>
        </w:rPr>
        <w:t>Id</w:t>
      </w:r>
      <w:r>
        <w:t xml:space="preserve">. at </w:t>
      </w:r>
      <w:r w:rsidRPr="008413F2">
        <w:t xml:space="preserve">Standard </w:t>
      </w:r>
      <w:r w:rsidR="00B56DF6">
        <w:t>4</w:t>
      </w:r>
      <w:r w:rsidRPr="008413F2">
        <w:t>.0</w:t>
      </w:r>
      <w:r w:rsidR="00B56DF6">
        <w:t>.</w:t>
      </w:r>
    </w:p>
  </w:footnote>
  <w:footnote w:id="5">
    <w:p w14:paraId="4AD32E94" w14:textId="35954A8C" w:rsidR="00FA42A9" w:rsidRDefault="00FA42A9">
      <w:pPr>
        <w:pStyle w:val="FootnoteText"/>
      </w:pPr>
      <w:r>
        <w:rPr>
          <w:rStyle w:val="FootnoteReference"/>
        </w:rPr>
        <w:footnoteRef/>
      </w:r>
      <w:r>
        <w:t xml:space="preserve"> </w:t>
      </w:r>
      <w:r w:rsidR="00215824">
        <w:t>Donald Duque</w:t>
      </w:r>
      <w:r w:rsidR="00CA03B3">
        <w:t xml:space="preserve">tte, </w:t>
      </w:r>
      <w:r w:rsidR="00CA03B3">
        <w:rPr>
          <w:i/>
          <w:iCs/>
        </w:rPr>
        <w:t xml:space="preserve">How to Improve Legal Representation of Children in America’s </w:t>
      </w:r>
      <w:r w:rsidR="006D3551">
        <w:rPr>
          <w:i/>
          <w:iCs/>
        </w:rPr>
        <w:t>Child Welfare System</w:t>
      </w:r>
      <w:r w:rsidR="006D3551">
        <w:t xml:space="preserve"> </w:t>
      </w:r>
      <w:r w:rsidR="00B17CF8">
        <w:t>(</w:t>
      </w:r>
      <w:r w:rsidR="00B17CF8" w:rsidRPr="006C67E1">
        <w:t>2022</w:t>
      </w:r>
      <w:r w:rsidR="00B17CF8">
        <w:t>)</w:t>
      </w:r>
      <w:r w:rsidR="00D95FD0">
        <w:t xml:space="preserve">, </w:t>
      </w:r>
      <w:r w:rsidR="00D95FD0" w:rsidRPr="00D95FD0">
        <w:rPr>
          <w:i/>
          <w:iCs/>
        </w:rPr>
        <w:t>Law and Economics Working Papers</w:t>
      </w:r>
      <w:r w:rsidR="00D95FD0">
        <w:t>,</w:t>
      </w:r>
      <w:r w:rsidR="00D95FD0" w:rsidRPr="00D95FD0">
        <w:rPr>
          <w:i/>
          <w:iCs/>
        </w:rPr>
        <w:t xml:space="preserve"> </w:t>
      </w:r>
      <w:r w:rsidR="006C67E1" w:rsidRPr="006C67E1">
        <w:t>University of Michigan Law School Scholarship Repository</w:t>
      </w:r>
      <w:r w:rsidR="00492358">
        <w:t xml:space="preserve">, </w:t>
      </w:r>
      <w:r w:rsidR="00417B00">
        <w:t xml:space="preserve">3, </w:t>
      </w:r>
      <w:hyperlink r:id="rId2" w:history="1">
        <w:r w:rsidR="00417B00" w:rsidRPr="00B31A1B">
          <w:rPr>
            <w:rStyle w:val="Hyperlink"/>
          </w:rPr>
          <w:t>https://repository.law.umich.edu/cgi/viewcontent.cgi?article=1343&amp;context=law_econ_current</w:t>
        </w:r>
      </w:hyperlink>
      <w:r w:rsidR="00417B00">
        <w:t xml:space="preserve">. </w:t>
      </w:r>
    </w:p>
  </w:footnote>
  <w:footnote w:id="6">
    <w:p w14:paraId="12E05671" w14:textId="53763934" w:rsidR="00215824" w:rsidRPr="00215824" w:rsidRDefault="00215824">
      <w:pPr>
        <w:pStyle w:val="FootnoteText"/>
      </w:pPr>
      <w:r>
        <w:rPr>
          <w:rStyle w:val="FootnoteReference"/>
        </w:rPr>
        <w:footnoteRef/>
      </w:r>
      <w:r>
        <w:t xml:space="preserve"> </w:t>
      </w:r>
      <w:r>
        <w:rPr>
          <w:i/>
          <w:iCs/>
        </w:rPr>
        <w:t>Id.</w:t>
      </w:r>
      <w:r>
        <w:t xml:space="preserve"> at 3-4.</w:t>
      </w:r>
    </w:p>
  </w:footnote>
  <w:footnote w:id="7">
    <w:p w14:paraId="49311D1B" w14:textId="3B24597D" w:rsidR="00215824" w:rsidRPr="00215824" w:rsidRDefault="00215824">
      <w:pPr>
        <w:pStyle w:val="FootnoteText"/>
      </w:pPr>
      <w:r>
        <w:rPr>
          <w:rStyle w:val="FootnoteReference"/>
        </w:rPr>
        <w:footnoteRef/>
      </w:r>
      <w:r>
        <w:t xml:space="preserve"> </w:t>
      </w:r>
      <w:r>
        <w:rPr>
          <w:i/>
          <w:iCs/>
        </w:rPr>
        <w:t>Id</w:t>
      </w:r>
      <w:r>
        <w:t>. at 6.</w:t>
      </w:r>
    </w:p>
  </w:footnote>
  <w:footnote w:id="8">
    <w:p w14:paraId="561E2A98" w14:textId="77777777" w:rsidR="00F64151" w:rsidRPr="00685AE7" w:rsidRDefault="00F64151" w:rsidP="00F64151">
      <w:pPr>
        <w:pStyle w:val="FootnoteText"/>
      </w:pPr>
      <w:r>
        <w:rPr>
          <w:rStyle w:val="FootnoteReference"/>
        </w:rPr>
        <w:footnoteRef/>
      </w:r>
      <w:r>
        <w:t xml:space="preserve"> </w:t>
      </w:r>
      <w:r w:rsidRPr="00542D65">
        <w:rPr>
          <w:i/>
          <w:iCs/>
        </w:rPr>
        <w:t>State ex rel. Bird v. Weinstock</w:t>
      </w:r>
      <w:r w:rsidRPr="00542D65">
        <w:t>, 864 S.W.2d 376, 385 (Mo. Ct. App. 1993)</w:t>
      </w:r>
      <w:r>
        <w:t xml:space="preserve">; </w:t>
      </w:r>
      <w:r w:rsidRPr="00685AE7">
        <w:t>see also</w:t>
      </w:r>
      <w:r>
        <w:t xml:space="preserve"> </w:t>
      </w:r>
      <w:r w:rsidRPr="00685AE7">
        <w:rPr>
          <w:i/>
          <w:iCs/>
        </w:rPr>
        <w:t>Guier v. Guier</w:t>
      </w:r>
      <w:r w:rsidRPr="00685AE7">
        <w:t>, 918 S.W.2d 940, 950 (Mo. Ct. App. 1996)</w:t>
      </w:r>
      <w:r>
        <w:t>.</w:t>
      </w:r>
    </w:p>
  </w:footnote>
  <w:footnote w:id="9">
    <w:p w14:paraId="5E54FFFB" w14:textId="77777777" w:rsidR="00F64151" w:rsidRPr="00040D96" w:rsidRDefault="00F64151" w:rsidP="00F64151">
      <w:pPr>
        <w:pStyle w:val="FootnoteText"/>
      </w:pPr>
      <w:r>
        <w:rPr>
          <w:rStyle w:val="FootnoteReference"/>
        </w:rPr>
        <w:footnoteRef/>
      </w:r>
      <w:r>
        <w:t xml:space="preserve"> </w:t>
      </w:r>
      <w:r>
        <w:rPr>
          <w:i/>
          <w:iCs/>
        </w:rPr>
        <w:t>Id</w:t>
      </w:r>
      <w:r>
        <w:t>.</w:t>
      </w:r>
    </w:p>
  </w:footnote>
  <w:footnote w:id="10">
    <w:p w14:paraId="7DED1633" w14:textId="77777777" w:rsidR="00F64151" w:rsidRDefault="00F64151" w:rsidP="00F64151">
      <w:pPr>
        <w:pStyle w:val="FootnoteText"/>
      </w:pPr>
      <w:r>
        <w:rPr>
          <w:rStyle w:val="FootnoteReference"/>
        </w:rPr>
        <w:footnoteRef/>
      </w:r>
      <w:r>
        <w:t xml:space="preserve"> Standard 2.0</w:t>
      </w:r>
    </w:p>
  </w:footnote>
  <w:footnote w:id="11">
    <w:p w14:paraId="0B799073" w14:textId="77777777" w:rsidR="00F64151" w:rsidRDefault="00F64151" w:rsidP="00F64151">
      <w:pPr>
        <w:pStyle w:val="FootnoteText"/>
      </w:pPr>
      <w:r>
        <w:rPr>
          <w:rStyle w:val="FootnoteReference"/>
        </w:rPr>
        <w:footnoteRef/>
      </w:r>
      <w:r>
        <w:t xml:space="preserve"> Standard 2.0 (Comment).</w:t>
      </w:r>
    </w:p>
  </w:footnote>
  <w:footnote w:id="12">
    <w:p w14:paraId="51A7513C" w14:textId="77777777" w:rsidR="00F64151" w:rsidRDefault="00F64151" w:rsidP="00F64151">
      <w:pPr>
        <w:pStyle w:val="FootnoteText"/>
      </w:pPr>
      <w:r>
        <w:rPr>
          <w:rStyle w:val="FootnoteReference"/>
        </w:rPr>
        <w:footnoteRef/>
      </w:r>
      <w:r>
        <w:t xml:space="preserve"> Standard 3.0</w:t>
      </w:r>
    </w:p>
  </w:footnote>
  <w:footnote w:id="13">
    <w:p w14:paraId="1AE45340" w14:textId="77777777" w:rsidR="00F64151" w:rsidRDefault="00F64151" w:rsidP="00F64151">
      <w:pPr>
        <w:pStyle w:val="FootnoteText"/>
      </w:pPr>
      <w:r>
        <w:rPr>
          <w:rStyle w:val="FootnoteReference"/>
        </w:rPr>
        <w:footnoteRef/>
      </w:r>
      <w:r>
        <w:t xml:space="preserve"> Standard 7.0</w:t>
      </w:r>
    </w:p>
  </w:footnote>
  <w:footnote w:id="14">
    <w:p w14:paraId="445A79AB" w14:textId="77777777" w:rsidR="00F64151" w:rsidRDefault="00F64151" w:rsidP="00F64151">
      <w:pPr>
        <w:pStyle w:val="FootnoteText"/>
      </w:pPr>
      <w:r>
        <w:rPr>
          <w:rStyle w:val="FootnoteReference"/>
        </w:rPr>
        <w:footnoteRef/>
      </w:r>
      <w:r>
        <w:t xml:space="preserve"> Standard 11.0</w:t>
      </w:r>
    </w:p>
  </w:footnote>
  <w:footnote w:id="15">
    <w:p w14:paraId="5DFA7088" w14:textId="77777777" w:rsidR="00F64151" w:rsidRDefault="00F64151" w:rsidP="00F64151">
      <w:pPr>
        <w:pStyle w:val="FootnoteText"/>
      </w:pPr>
      <w:r>
        <w:rPr>
          <w:rStyle w:val="FootnoteReference"/>
        </w:rPr>
        <w:footnoteRef/>
      </w:r>
      <w:r>
        <w:t xml:space="preserve"> Standard 13.0</w:t>
      </w:r>
    </w:p>
  </w:footnote>
  <w:footnote w:id="16">
    <w:p w14:paraId="6BBC0252" w14:textId="77777777" w:rsidR="00F64151" w:rsidRPr="00317C36" w:rsidRDefault="00F64151" w:rsidP="00F64151">
      <w:pPr>
        <w:pStyle w:val="FootnoteText"/>
      </w:pPr>
      <w:r>
        <w:rPr>
          <w:rStyle w:val="FootnoteReference"/>
        </w:rPr>
        <w:footnoteRef/>
      </w:r>
      <w:r>
        <w:t xml:space="preserve"> “</w:t>
      </w:r>
      <w:r w:rsidRPr="00317C36">
        <w:t>As a representative of clients, a lawyer performs various functions. As advisor, a lawyer provides a client with an informed understanding of the client's legal rights and obligations and explains their practical implications. As advocate, a lawyer zealously asserts the client's position under the rules of the adversary system. As negotiator, a lawyer seeks a result advantageous to the client but consistent with requirements of honest dealings with others. As an evaluator, a lawyer acts by examining a client's legal affairs and reporting about them to the client or to others.</w:t>
      </w:r>
      <w:r>
        <w:t xml:space="preserve">” </w:t>
      </w:r>
      <w:r w:rsidRPr="00317C36">
        <w:t>MO R BAR Rule 4, Preamble</w:t>
      </w:r>
      <w:r>
        <w:t>.</w:t>
      </w:r>
    </w:p>
    <w:p w14:paraId="26B1F9BA" w14:textId="77777777" w:rsidR="00F64151" w:rsidRDefault="00F64151" w:rsidP="00F64151">
      <w:pPr>
        <w:pStyle w:val="FootnoteText"/>
      </w:pPr>
    </w:p>
  </w:footnote>
  <w:footnote w:id="17">
    <w:p w14:paraId="14C62AD1" w14:textId="77777777" w:rsidR="00F64151" w:rsidRDefault="00F64151" w:rsidP="00F64151">
      <w:pPr>
        <w:pStyle w:val="FootnoteText"/>
      </w:pPr>
      <w:r>
        <w:rPr>
          <w:rStyle w:val="FootnoteReference"/>
        </w:rPr>
        <w:footnoteRef/>
      </w:r>
      <w:r>
        <w:t xml:space="preserve"> </w:t>
      </w:r>
      <w:r w:rsidRPr="00C3329D">
        <w:t>MO R BAR Rule 4-1.1</w:t>
      </w:r>
      <w:r>
        <w:t>.</w:t>
      </w:r>
    </w:p>
  </w:footnote>
  <w:footnote w:id="18">
    <w:p w14:paraId="11654A07" w14:textId="77777777" w:rsidR="00F64151" w:rsidRDefault="00F64151" w:rsidP="00F64151">
      <w:pPr>
        <w:pStyle w:val="FootnoteText"/>
      </w:pPr>
      <w:r>
        <w:rPr>
          <w:rStyle w:val="FootnoteReference"/>
        </w:rPr>
        <w:footnoteRef/>
      </w:r>
      <w:r>
        <w:t xml:space="preserve"> </w:t>
      </w:r>
      <w:r w:rsidRPr="00A10632">
        <w:t>MO R BAR Rule 4-1.2</w:t>
      </w:r>
      <w:r>
        <w:t>.</w:t>
      </w:r>
    </w:p>
  </w:footnote>
  <w:footnote w:id="19">
    <w:p w14:paraId="75D5A78F" w14:textId="77777777" w:rsidR="00F64151" w:rsidRDefault="00F64151" w:rsidP="00F64151">
      <w:pPr>
        <w:pStyle w:val="FootnoteText"/>
      </w:pPr>
      <w:r>
        <w:rPr>
          <w:rStyle w:val="FootnoteReference"/>
        </w:rPr>
        <w:footnoteRef/>
      </w:r>
      <w:r>
        <w:t xml:space="preserve"> </w:t>
      </w:r>
      <w:r w:rsidRPr="00A10632">
        <w:t>MO R BAR Rule 4-1.</w:t>
      </w:r>
      <w:r>
        <w:t>3 – 4.1.4.</w:t>
      </w:r>
    </w:p>
  </w:footnote>
  <w:footnote w:id="20">
    <w:p w14:paraId="208A21EC" w14:textId="77777777" w:rsidR="00F64151" w:rsidRDefault="00F64151" w:rsidP="00F64151">
      <w:pPr>
        <w:pStyle w:val="FootnoteText"/>
      </w:pPr>
      <w:r>
        <w:rPr>
          <w:rStyle w:val="FootnoteReference"/>
        </w:rPr>
        <w:footnoteRef/>
      </w:r>
      <w:r>
        <w:t xml:space="preserve"> </w:t>
      </w:r>
      <w:r w:rsidRPr="00A10632">
        <w:t>MO R BAR Rule 4-1.</w:t>
      </w:r>
      <w:r>
        <w:t>6.</w:t>
      </w:r>
    </w:p>
  </w:footnote>
  <w:footnote w:id="21">
    <w:p w14:paraId="6E440FB5" w14:textId="77777777" w:rsidR="00F64151" w:rsidRDefault="00F64151" w:rsidP="00F64151">
      <w:pPr>
        <w:pStyle w:val="FootnoteText"/>
      </w:pPr>
      <w:r>
        <w:rPr>
          <w:rStyle w:val="FootnoteReference"/>
        </w:rPr>
        <w:footnoteRef/>
      </w:r>
      <w:r>
        <w:t xml:space="preserve"> </w:t>
      </w:r>
      <w:r w:rsidRPr="00A10632">
        <w:t xml:space="preserve">MO R BAR Rule </w:t>
      </w:r>
      <w:r>
        <w:t>4.1.14.</w:t>
      </w:r>
    </w:p>
  </w:footnote>
  <w:footnote w:id="22">
    <w:p w14:paraId="441B7CB4" w14:textId="77777777" w:rsidR="00F64151" w:rsidRDefault="00F64151" w:rsidP="00F64151">
      <w:pPr>
        <w:pStyle w:val="FootnoteText"/>
      </w:pPr>
      <w:r>
        <w:rPr>
          <w:rStyle w:val="FootnoteReference"/>
        </w:rPr>
        <w:footnoteRef/>
      </w:r>
      <w:r>
        <w:t xml:space="preserve"> </w:t>
      </w:r>
      <w:r w:rsidRPr="00646E28">
        <w:t>MO R BAR Rule 4-1.14 (Comment 1).</w:t>
      </w:r>
    </w:p>
  </w:footnote>
  <w:footnote w:id="23">
    <w:p w14:paraId="6D8BD93C" w14:textId="77777777" w:rsidR="00F64151" w:rsidRDefault="00F64151" w:rsidP="00F64151">
      <w:pPr>
        <w:pStyle w:val="FootnoteText"/>
      </w:pPr>
      <w:r>
        <w:rPr>
          <w:rStyle w:val="FootnoteReference"/>
        </w:rPr>
        <w:footnoteRef/>
      </w:r>
      <w:r>
        <w:t xml:space="preserve"> </w:t>
      </w:r>
      <w:r w:rsidRPr="00646E28">
        <w:t xml:space="preserve">MO R BAR Rule 4-1.14 (Comment </w:t>
      </w:r>
      <w:r>
        <w:t>5</w:t>
      </w:r>
      <w:r w:rsidRPr="00646E28">
        <w:t>).</w:t>
      </w:r>
    </w:p>
  </w:footnote>
  <w:footnote w:id="24">
    <w:p w14:paraId="2919B674" w14:textId="77777777" w:rsidR="00F64151" w:rsidRDefault="00F64151" w:rsidP="00F64151">
      <w:pPr>
        <w:pStyle w:val="FootnoteText"/>
      </w:pPr>
      <w:r>
        <w:rPr>
          <w:rStyle w:val="FootnoteReference"/>
        </w:rPr>
        <w:footnoteRef/>
      </w:r>
      <w:r>
        <w:t xml:space="preserve"> </w:t>
      </w:r>
      <w:r w:rsidRPr="00646E28">
        <w:t xml:space="preserve">MO R BAR Rule 4-1.14 (Comment </w:t>
      </w:r>
      <w:r>
        <w:t>5</w:t>
      </w:r>
      <w:r w:rsidRPr="00646E28">
        <w:t>).</w:t>
      </w:r>
    </w:p>
  </w:footnote>
  <w:footnote w:id="25">
    <w:p w14:paraId="5A794A18" w14:textId="77777777" w:rsidR="00F64151" w:rsidRDefault="00F64151" w:rsidP="00F64151">
      <w:pPr>
        <w:pStyle w:val="FootnoteText"/>
      </w:pPr>
      <w:r>
        <w:rPr>
          <w:rStyle w:val="FootnoteReference"/>
        </w:rPr>
        <w:footnoteRef/>
      </w:r>
      <w:r>
        <w:t xml:space="preserve"> </w:t>
      </w:r>
      <w:r w:rsidRPr="00A460B8">
        <w:t>MO R BAR Rule 4-1.14</w:t>
      </w:r>
      <w:r>
        <w:t>.</w:t>
      </w:r>
    </w:p>
  </w:footnote>
  <w:footnote w:id="26">
    <w:p w14:paraId="7A1C5F45" w14:textId="77777777" w:rsidR="00F64151" w:rsidRDefault="00F64151" w:rsidP="00F64151">
      <w:pPr>
        <w:pStyle w:val="FootnoteText"/>
      </w:pPr>
      <w:r>
        <w:rPr>
          <w:rStyle w:val="FootnoteReference"/>
        </w:rPr>
        <w:footnoteRef/>
      </w:r>
      <w:r>
        <w:t xml:space="preserve"> </w:t>
      </w:r>
      <w:r w:rsidRPr="00EF5618">
        <w:t>AZ ST JUV CT Rule 306</w:t>
      </w:r>
      <w:r>
        <w:t>.</w:t>
      </w:r>
    </w:p>
  </w:footnote>
  <w:footnote w:id="27">
    <w:p w14:paraId="2D7FD121" w14:textId="77777777" w:rsidR="00F64151" w:rsidRDefault="00F64151" w:rsidP="00F64151">
      <w:pPr>
        <w:pStyle w:val="FootnoteText"/>
      </w:pPr>
      <w:r>
        <w:rPr>
          <w:rStyle w:val="FootnoteReference"/>
        </w:rPr>
        <w:footnoteRef/>
      </w:r>
      <w:r>
        <w:t xml:space="preserve"> </w:t>
      </w:r>
      <w:r w:rsidRPr="00A460B8">
        <w:t>MO R BAR Rule 4-1.</w:t>
      </w:r>
      <w:r>
        <w:t>6</w:t>
      </w:r>
    </w:p>
  </w:footnote>
  <w:footnote w:id="28">
    <w:p w14:paraId="1B86AA98" w14:textId="77777777" w:rsidR="00F64151" w:rsidRPr="00632586" w:rsidRDefault="00F64151" w:rsidP="00F64151">
      <w:pPr>
        <w:pStyle w:val="FootnoteText"/>
      </w:pPr>
      <w:r>
        <w:rPr>
          <w:rStyle w:val="FootnoteReference"/>
        </w:rPr>
        <w:footnoteRef/>
      </w:r>
      <w:r>
        <w:t xml:space="preserve"> </w:t>
      </w:r>
      <w:r>
        <w:rPr>
          <w:i/>
          <w:iCs/>
        </w:rPr>
        <w:t>Id</w:t>
      </w:r>
      <w:r>
        <w:t>. at (a).</w:t>
      </w:r>
    </w:p>
  </w:footnote>
  <w:footnote w:id="29">
    <w:p w14:paraId="184B4743" w14:textId="77777777" w:rsidR="00F64151" w:rsidRDefault="00F64151" w:rsidP="00F64151">
      <w:pPr>
        <w:pStyle w:val="FootnoteText"/>
      </w:pPr>
      <w:r>
        <w:rPr>
          <w:rStyle w:val="FootnoteReference"/>
        </w:rPr>
        <w:footnoteRef/>
      </w:r>
      <w:r>
        <w:t xml:space="preserve"> </w:t>
      </w:r>
      <w:r w:rsidRPr="009B0ECE">
        <w:rPr>
          <w:i/>
          <w:iCs/>
        </w:rPr>
        <w:t>Id</w:t>
      </w:r>
      <w:r>
        <w:t xml:space="preserve">. at </w:t>
      </w:r>
      <w:r w:rsidRPr="009B0ECE">
        <w:t>Comment</w:t>
      </w:r>
      <w:r>
        <w:t xml:space="preserve"> 1.</w:t>
      </w:r>
    </w:p>
  </w:footnote>
  <w:footnote w:id="30">
    <w:p w14:paraId="1AF9981B" w14:textId="77777777" w:rsidR="00F64151" w:rsidRDefault="00F64151" w:rsidP="00F64151">
      <w:pPr>
        <w:pStyle w:val="FootnoteText"/>
      </w:pPr>
      <w:r>
        <w:rPr>
          <w:rStyle w:val="FootnoteReference"/>
        </w:rPr>
        <w:footnoteRef/>
      </w:r>
      <w:r>
        <w:t xml:space="preserve"> </w:t>
      </w:r>
      <w:r w:rsidRPr="009B0ECE">
        <w:rPr>
          <w:i/>
          <w:iCs/>
        </w:rPr>
        <w:t>Id</w:t>
      </w:r>
      <w:r>
        <w:t>. at Comment 2.</w:t>
      </w:r>
    </w:p>
  </w:footnote>
  <w:footnote w:id="31">
    <w:p w14:paraId="744CF136" w14:textId="77777777" w:rsidR="00F64151" w:rsidRDefault="00F64151" w:rsidP="00F64151">
      <w:pPr>
        <w:pStyle w:val="FootnoteText"/>
      </w:pPr>
      <w:r>
        <w:rPr>
          <w:rStyle w:val="FootnoteReference"/>
        </w:rPr>
        <w:footnoteRef/>
      </w:r>
      <w:r>
        <w:t xml:space="preserve"> </w:t>
      </w:r>
      <w:r w:rsidRPr="00A460B8">
        <w:t>MO R BAR Rule 4-1.</w:t>
      </w:r>
      <w:r>
        <w:t xml:space="preserve">6; </w:t>
      </w:r>
      <w:r>
        <w:rPr>
          <w:i/>
          <w:iCs/>
        </w:rPr>
        <w:t>see also</w:t>
      </w:r>
      <w:r>
        <w:t xml:space="preserve"> Office of Legal Ethics Counsel &amp; Advisory Committee of the Supreme Court of Missouri, Informal Opinion 2020-03</w:t>
      </w:r>
      <w:r>
        <w:rPr>
          <w:i/>
          <w:iCs/>
        </w:rPr>
        <w:t xml:space="preserve"> </w:t>
      </w:r>
      <w:r>
        <w:t>(“</w:t>
      </w:r>
      <w:r w:rsidRPr="00164924">
        <w:t xml:space="preserve">Rule 4-1.6(b)(1) permits Attorney to disclose Client’s threats to the extent reasonably necessary to prevent death or substantial bodily harm that is reasonably certain to occur. Death or substantial bodily harm is reasonably certain to occur if it will be suffered imminently or if there is a present and substantial threat that a person will suffer such harm </w:t>
      </w:r>
      <w:proofErr w:type="gramStart"/>
      <w:r w:rsidRPr="00164924">
        <w:t>at a later date</w:t>
      </w:r>
      <w:proofErr w:type="gramEnd"/>
      <w:r w:rsidRPr="00164924">
        <w:t xml:space="preserve"> if the lawyer fails to take action necessary to eliminate the threat. Rule 4-1.6, Comment [6]. The decision as to whether Attorney reasonably believes disclosure is necessary to accomplish the purpose specified in Rule 4-1.6(b)(1) will require the use of Attorney’s professional judgment </w:t>
      </w:r>
      <w:proofErr w:type="gramStart"/>
      <w:r w:rsidRPr="00164924">
        <w:t>in light of</w:t>
      </w:r>
      <w:proofErr w:type="gramEnd"/>
      <w:r w:rsidRPr="00164924">
        <w:t xml:space="preserve"> all the circumstances known to Attorney. See Informal Opinion 2019-05; see also Rule 4, Scope, at [14]; Rule 4-1.6 permits, but does not require, disclosure in accordance with paragraph (b). Rule 4-1.6, Comment [13]. Any disclosure per 4-1.6(b) should be no greater than what Attorney reasonably believes is necessary to accomplish the specified purpose. Rule 4-1.6, Comment [12]. If Attorney believes Client is suffering from diminished capacity because of mental impairment, or for some other reason, Attorney should review Rule 4-1.14, Client </w:t>
      </w:r>
      <w:proofErr w:type="gramStart"/>
      <w:r w:rsidRPr="00164924">
        <w:t>With</w:t>
      </w:r>
      <w:proofErr w:type="gramEnd"/>
      <w:r w:rsidRPr="00164924">
        <w:t xml:space="preserve"> Diminished Capacity. Rule 4-1.14 may permit Attorney to take other reasonably necessary protective action to protect Client from substantial physical, financial, or other harm if Client is unable to act in his or her own interest.</w:t>
      </w:r>
      <w:r>
        <w:t>)</w:t>
      </w:r>
    </w:p>
  </w:footnote>
  <w:footnote w:id="32">
    <w:p w14:paraId="46CEA7AB" w14:textId="77777777" w:rsidR="00F64151" w:rsidRDefault="00F64151" w:rsidP="00F64151">
      <w:pPr>
        <w:pStyle w:val="FootnoteText"/>
      </w:pPr>
      <w:r>
        <w:rPr>
          <w:rStyle w:val="FootnoteReference"/>
        </w:rPr>
        <w:footnoteRef/>
      </w:r>
      <w:r>
        <w:t xml:space="preserve"> </w:t>
      </w:r>
      <w:r>
        <w:rPr>
          <w:i/>
          <w:iCs/>
        </w:rPr>
        <w:t>Id</w:t>
      </w:r>
      <w:r w:rsidRPr="006C5A8B">
        <w:t>.</w:t>
      </w:r>
      <w:r>
        <w:rPr>
          <w:i/>
          <w:iCs/>
        </w:rPr>
        <w:t xml:space="preserve"> </w:t>
      </w:r>
      <w:r>
        <w:t>at Comment 6.</w:t>
      </w:r>
    </w:p>
  </w:footnote>
  <w:footnote w:id="33">
    <w:p w14:paraId="01031920" w14:textId="77777777" w:rsidR="00F64151" w:rsidRPr="00587247" w:rsidRDefault="00F64151" w:rsidP="00F64151">
      <w:pPr>
        <w:pStyle w:val="FootnoteText"/>
      </w:pPr>
      <w:r>
        <w:rPr>
          <w:rStyle w:val="FootnoteReference"/>
        </w:rPr>
        <w:footnoteRef/>
      </w:r>
      <w:r>
        <w:t xml:space="preserve"> </w:t>
      </w:r>
      <w:r>
        <w:rPr>
          <w:i/>
          <w:iCs/>
        </w:rPr>
        <w:t>Id</w:t>
      </w:r>
      <w:r>
        <w:t>. at (b).</w:t>
      </w:r>
    </w:p>
  </w:footnote>
  <w:footnote w:id="34">
    <w:p w14:paraId="5EE39BCB" w14:textId="1186AEFD" w:rsidR="009F6C38" w:rsidRDefault="009F6C38">
      <w:pPr>
        <w:pStyle w:val="FootnoteText"/>
      </w:pPr>
      <w:r>
        <w:rPr>
          <w:rStyle w:val="FootnoteReference"/>
        </w:rPr>
        <w:footnoteRef/>
      </w:r>
      <w:r>
        <w:t xml:space="preserve"> </w:t>
      </w:r>
      <w:r w:rsidRPr="009F6C38">
        <w:t>Josh Gupta-Kagan, </w:t>
      </w:r>
      <w:r w:rsidRPr="009F6C38">
        <w:rPr>
          <w:i/>
          <w:iCs/>
        </w:rPr>
        <w:t>Where the Judiciary Prosecutes in Front of Itself: Missouri's Unconstitutional Juvenile Court Structure</w:t>
      </w:r>
      <w:r w:rsidRPr="009F6C38">
        <w:t>, 78 Mo. L. Rev. (2013)</w:t>
      </w:r>
      <w:r w:rsidR="00F701D4">
        <w:t>, a</w:t>
      </w:r>
      <w:r w:rsidR="00F701D4" w:rsidRPr="00F701D4">
        <w:t xml:space="preserve">vailable at: </w:t>
      </w:r>
      <w:hyperlink r:id="rId3" w:history="1">
        <w:r w:rsidR="00F701D4" w:rsidRPr="00B31A1B">
          <w:rPr>
            <w:rStyle w:val="Hyperlink"/>
          </w:rPr>
          <w:t>https://scholarship.law.missouri.edu/mlr/vol78/iss4/10</w:t>
        </w:r>
      </w:hyperlink>
      <w:r>
        <w:t>.</w:t>
      </w:r>
    </w:p>
  </w:footnote>
  <w:footnote w:id="35">
    <w:p w14:paraId="5A5F106C" w14:textId="274E9E33" w:rsidR="00781751" w:rsidRDefault="00781751">
      <w:pPr>
        <w:pStyle w:val="FootnoteText"/>
      </w:pPr>
      <w:r>
        <w:rPr>
          <w:rStyle w:val="FootnoteReference"/>
        </w:rPr>
        <w:footnoteRef/>
      </w:r>
      <w:r>
        <w:t xml:space="preserve"> </w:t>
      </w:r>
      <w:r w:rsidRPr="002B1848">
        <w:t>NMSA § 9-1-3.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7EAA" w14:textId="436C3A00" w:rsidR="00C829DE" w:rsidRDefault="00C829DE" w:rsidP="00C829DE">
    <w:pPr>
      <w:pStyle w:val="Header"/>
      <w:jc w:val="center"/>
    </w:pPr>
    <w:r>
      <w:rPr>
        <w:noProof/>
      </w:rPr>
      <w:drawing>
        <wp:inline distT="0" distB="0" distL="0" distR="0" wp14:anchorId="29F9F6A1" wp14:editId="75775627">
          <wp:extent cx="1256030" cy="530225"/>
          <wp:effectExtent l="0" t="0" r="127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6CC"/>
    <w:multiLevelType w:val="hybridMultilevel"/>
    <w:tmpl w:val="7EC2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E2FF7"/>
    <w:multiLevelType w:val="hybridMultilevel"/>
    <w:tmpl w:val="CC883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B414F57"/>
    <w:multiLevelType w:val="hybridMultilevel"/>
    <w:tmpl w:val="0C42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C1C86"/>
    <w:multiLevelType w:val="hybridMultilevel"/>
    <w:tmpl w:val="EDF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C1C9E"/>
    <w:multiLevelType w:val="hybridMultilevel"/>
    <w:tmpl w:val="8F7ADF80"/>
    <w:lvl w:ilvl="0" w:tplc="B824CB8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87423"/>
    <w:multiLevelType w:val="hybridMultilevel"/>
    <w:tmpl w:val="4530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2C28B6"/>
    <w:multiLevelType w:val="hybridMultilevel"/>
    <w:tmpl w:val="816C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D4B00"/>
    <w:multiLevelType w:val="hybridMultilevel"/>
    <w:tmpl w:val="39781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D074D9"/>
    <w:multiLevelType w:val="hybridMultilevel"/>
    <w:tmpl w:val="2E5CDEFE"/>
    <w:lvl w:ilvl="0" w:tplc="31587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A2FE8"/>
    <w:multiLevelType w:val="hybridMultilevel"/>
    <w:tmpl w:val="39D04162"/>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10" w15:restartNumberingAfterBreak="0">
    <w:nsid w:val="60BC6035"/>
    <w:multiLevelType w:val="hybridMultilevel"/>
    <w:tmpl w:val="34528752"/>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1" w15:restartNumberingAfterBreak="0">
    <w:nsid w:val="6A685761"/>
    <w:multiLevelType w:val="hybridMultilevel"/>
    <w:tmpl w:val="C26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4171D"/>
    <w:multiLevelType w:val="hybridMultilevel"/>
    <w:tmpl w:val="E81E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94203"/>
    <w:multiLevelType w:val="hybridMultilevel"/>
    <w:tmpl w:val="38BE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042237">
    <w:abstractNumId w:val="7"/>
  </w:num>
  <w:num w:numId="3" w16cid:durableId="1567498808">
    <w:abstractNumId w:val="11"/>
  </w:num>
  <w:num w:numId="4" w16cid:durableId="544878141">
    <w:abstractNumId w:val="8"/>
  </w:num>
  <w:num w:numId="5" w16cid:durableId="1011684787">
    <w:abstractNumId w:val="1"/>
  </w:num>
  <w:num w:numId="6" w16cid:durableId="1343359131">
    <w:abstractNumId w:val="1"/>
  </w:num>
  <w:num w:numId="7" w16cid:durableId="244196031">
    <w:abstractNumId w:val="3"/>
  </w:num>
  <w:num w:numId="8" w16cid:durableId="1883785897">
    <w:abstractNumId w:val="12"/>
  </w:num>
  <w:num w:numId="9" w16cid:durableId="168983360">
    <w:abstractNumId w:val="2"/>
  </w:num>
  <w:num w:numId="10" w16cid:durableId="135923836">
    <w:abstractNumId w:val="6"/>
  </w:num>
  <w:num w:numId="11" w16cid:durableId="1170605053">
    <w:abstractNumId w:val="4"/>
  </w:num>
  <w:num w:numId="12" w16cid:durableId="1797331964">
    <w:abstractNumId w:val="0"/>
  </w:num>
  <w:num w:numId="13" w16cid:durableId="693926185">
    <w:abstractNumId w:val="13"/>
  </w:num>
  <w:num w:numId="14" w16cid:durableId="2054108423">
    <w:abstractNumId w:val="10"/>
    <w:lvlOverride w:ilvl="0"/>
    <w:lvlOverride w:ilvl="1"/>
    <w:lvlOverride w:ilvl="2"/>
    <w:lvlOverride w:ilvl="3"/>
    <w:lvlOverride w:ilvl="4"/>
    <w:lvlOverride w:ilvl="5"/>
    <w:lvlOverride w:ilvl="6"/>
    <w:lvlOverride w:ilvl="7"/>
    <w:lvlOverride w:ilvl="8"/>
  </w:num>
  <w:num w:numId="15" w16cid:durableId="1332488705">
    <w:abstractNumId w:val="5"/>
    <w:lvlOverride w:ilvl="0"/>
    <w:lvlOverride w:ilvl="1"/>
    <w:lvlOverride w:ilvl="2"/>
    <w:lvlOverride w:ilvl="3"/>
    <w:lvlOverride w:ilvl="4"/>
    <w:lvlOverride w:ilvl="5"/>
    <w:lvlOverride w:ilvl="6"/>
    <w:lvlOverride w:ilvl="7"/>
    <w:lvlOverride w:ilvl="8"/>
  </w:num>
  <w:num w:numId="16" w16cid:durableId="204552358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0MjYzMDIzMzUwsTBV0lEKTi0uzszPAykwrgUAWEO/oCwAAAA="/>
  </w:docVars>
  <w:rsids>
    <w:rsidRoot w:val="000F4A8B"/>
    <w:rsid w:val="00000C3D"/>
    <w:rsid w:val="00000E13"/>
    <w:rsid w:val="00002190"/>
    <w:rsid w:val="00003EB0"/>
    <w:rsid w:val="000070BD"/>
    <w:rsid w:val="00015162"/>
    <w:rsid w:val="00026D44"/>
    <w:rsid w:val="0003002D"/>
    <w:rsid w:val="0003342D"/>
    <w:rsid w:val="000345DC"/>
    <w:rsid w:val="00035702"/>
    <w:rsid w:val="00050C50"/>
    <w:rsid w:val="00053E39"/>
    <w:rsid w:val="000617EF"/>
    <w:rsid w:val="000663CF"/>
    <w:rsid w:val="00072A4A"/>
    <w:rsid w:val="00072C69"/>
    <w:rsid w:val="000A2ECE"/>
    <w:rsid w:val="000B6B3D"/>
    <w:rsid w:val="000C115F"/>
    <w:rsid w:val="000C2A23"/>
    <w:rsid w:val="000C3C81"/>
    <w:rsid w:val="000C511C"/>
    <w:rsid w:val="000D491A"/>
    <w:rsid w:val="000D4A9D"/>
    <w:rsid w:val="000E2DF4"/>
    <w:rsid w:val="000E5EDB"/>
    <w:rsid w:val="000F40F0"/>
    <w:rsid w:val="000F4A8B"/>
    <w:rsid w:val="00100E51"/>
    <w:rsid w:val="00106E85"/>
    <w:rsid w:val="00117B2D"/>
    <w:rsid w:val="001225AD"/>
    <w:rsid w:val="001229DD"/>
    <w:rsid w:val="0012428D"/>
    <w:rsid w:val="00126FF5"/>
    <w:rsid w:val="00141B62"/>
    <w:rsid w:val="00142348"/>
    <w:rsid w:val="0015277D"/>
    <w:rsid w:val="00152FB8"/>
    <w:rsid w:val="0016121C"/>
    <w:rsid w:val="0016148C"/>
    <w:rsid w:val="001652C6"/>
    <w:rsid w:val="00165F82"/>
    <w:rsid w:val="00170981"/>
    <w:rsid w:val="00172864"/>
    <w:rsid w:val="00175AB9"/>
    <w:rsid w:val="00176769"/>
    <w:rsid w:val="0019283F"/>
    <w:rsid w:val="00194AB7"/>
    <w:rsid w:val="001A51F2"/>
    <w:rsid w:val="001B3CC8"/>
    <w:rsid w:val="001C56C6"/>
    <w:rsid w:val="001D332E"/>
    <w:rsid w:val="001E1EE2"/>
    <w:rsid w:val="001F116D"/>
    <w:rsid w:val="001F2FAD"/>
    <w:rsid w:val="001F474E"/>
    <w:rsid w:val="00203309"/>
    <w:rsid w:val="002107CA"/>
    <w:rsid w:val="0021110F"/>
    <w:rsid w:val="00215824"/>
    <w:rsid w:val="00221015"/>
    <w:rsid w:val="00222CC4"/>
    <w:rsid w:val="00227BC8"/>
    <w:rsid w:val="00230070"/>
    <w:rsid w:val="002328A4"/>
    <w:rsid w:val="0024775A"/>
    <w:rsid w:val="00251A9C"/>
    <w:rsid w:val="00251EB9"/>
    <w:rsid w:val="00252765"/>
    <w:rsid w:val="00253F0C"/>
    <w:rsid w:val="00260706"/>
    <w:rsid w:val="002808CA"/>
    <w:rsid w:val="00285486"/>
    <w:rsid w:val="00286658"/>
    <w:rsid w:val="0028754F"/>
    <w:rsid w:val="00290A67"/>
    <w:rsid w:val="002A38DA"/>
    <w:rsid w:val="002B1848"/>
    <w:rsid w:val="002B2F98"/>
    <w:rsid w:val="002B5242"/>
    <w:rsid w:val="002B5A44"/>
    <w:rsid w:val="002B7BEC"/>
    <w:rsid w:val="002C6A32"/>
    <w:rsid w:val="002D279A"/>
    <w:rsid w:val="002E01C0"/>
    <w:rsid w:val="002E331B"/>
    <w:rsid w:val="002F0FD3"/>
    <w:rsid w:val="002F4D63"/>
    <w:rsid w:val="002F581D"/>
    <w:rsid w:val="002F6C6C"/>
    <w:rsid w:val="0030001D"/>
    <w:rsid w:val="00303BF7"/>
    <w:rsid w:val="00316188"/>
    <w:rsid w:val="00316A85"/>
    <w:rsid w:val="00332D8F"/>
    <w:rsid w:val="003332EA"/>
    <w:rsid w:val="003419EE"/>
    <w:rsid w:val="00342329"/>
    <w:rsid w:val="003433C6"/>
    <w:rsid w:val="00344464"/>
    <w:rsid w:val="00347C97"/>
    <w:rsid w:val="00352CB3"/>
    <w:rsid w:val="003575CF"/>
    <w:rsid w:val="0036246A"/>
    <w:rsid w:val="00365060"/>
    <w:rsid w:val="003657E2"/>
    <w:rsid w:val="003762DF"/>
    <w:rsid w:val="003826FE"/>
    <w:rsid w:val="00382903"/>
    <w:rsid w:val="003842C9"/>
    <w:rsid w:val="00384980"/>
    <w:rsid w:val="003869CD"/>
    <w:rsid w:val="00386DF1"/>
    <w:rsid w:val="00387033"/>
    <w:rsid w:val="00392057"/>
    <w:rsid w:val="00395A5F"/>
    <w:rsid w:val="003A3B03"/>
    <w:rsid w:val="003A3F74"/>
    <w:rsid w:val="003A6D4E"/>
    <w:rsid w:val="003B0657"/>
    <w:rsid w:val="003B51BD"/>
    <w:rsid w:val="003C7BE7"/>
    <w:rsid w:val="003D0DA6"/>
    <w:rsid w:val="003D5861"/>
    <w:rsid w:val="003E0CA5"/>
    <w:rsid w:val="003E1301"/>
    <w:rsid w:val="003E13EF"/>
    <w:rsid w:val="003E1AEA"/>
    <w:rsid w:val="003E2353"/>
    <w:rsid w:val="003E3778"/>
    <w:rsid w:val="003F2E14"/>
    <w:rsid w:val="00402D19"/>
    <w:rsid w:val="00402D51"/>
    <w:rsid w:val="00417B00"/>
    <w:rsid w:val="00425D1C"/>
    <w:rsid w:val="00430E6B"/>
    <w:rsid w:val="0043299C"/>
    <w:rsid w:val="00444AD9"/>
    <w:rsid w:val="00446909"/>
    <w:rsid w:val="0044691C"/>
    <w:rsid w:val="0045208C"/>
    <w:rsid w:val="004549E3"/>
    <w:rsid w:val="004554B8"/>
    <w:rsid w:val="00460996"/>
    <w:rsid w:val="004653B2"/>
    <w:rsid w:val="00476004"/>
    <w:rsid w:val="00477D19"/>
    <w:rsid w:val="00481B39"/>
    <w:rsid w:val="0048459C"/>
    <w:rsid w:val="00484E18"/>
    <w:rsid w:val="00486B53"/>
    <w:rsid w:val="0049012D"/>
    <w:rsid w:val="00492358"/>
    <w:rsid w:val="00493A9E"/>
    <w:rsid w:val="00493E85"/>
    <w:rsid w:val="0049723F"/>
    <w:rsid w:val="004A2756"/>
    <w:rsid w:val="004A4805"/>
    <w:rsid w:val="004A60B6"/>
    <w:rsid w:val="004B1D7D"/>
    <w:rsid w:val="004C698B"/>
    <w:rsid w:val="004C6A9D"/>
    <w:rsid w:val="004D1993"/>
    <w:rsid w:val="004E1281"/>
    <w:rsid w:val="004E3005"/>
    <w:rsid w:val="004F5236"/>
    <w:rsid w:val="004F7732"/>
    <w:rsid w:val="00500305"/>
    <w:rsid w:val="00524B9F"/>
    <w:rsid w:val="00526AE5"/>
    <w:rsid w:val="00532FEE"/>
    <w:rsid w:val="00553748"/>
    <w:rsid w:val="00554B98"/>
    <w:rsid w:val="00561972"/>
    <w:rsid w:val="00570806"/>
    <w:rsid w:val="00572CE3"/>
    <w:rsid w:val="00577CC4"/>
    <w:rsid w:val="00590E1D"/>
    <w:rsid w:val="00594F48"/>
    <w:rsid w:val="005A253C"/>
    <w:rsid w:val="005C05BB"/>
    <w:rsid w:val="005C2129"/>
    <w:rsid w:val="005C25F8"/>
    <w:rsid w:val="005C319A"/>
    <w:rsid w:val="005C364F"/>
    <w:rsid w:val="005C5F6C"/>
    <w:rsid w:val="005E4F0F"/>
    <w:rsid w:val="005E5D07"/>
    <w:rsid w:val="005F2C71"/>
    <w:rsid w:val="005F3C98"/>
    <w:rsid w:val="005F6C75"/>
    <w:rsid w:val="0060491F"/>
    <w:rsid w:val="006134B9"/>
    <w:rsid w:val="00632F54"/>
    <w:rsid w:val="00635AC0"/>
    <w:rsid w:val="006367A1"/>
    <w:rsid w:val="006370BA"/>
    <w:rsid w:val="006467FD"/>
    <w:rsid w:val="00646870"/>
    <w:rsid w:val="006472D3"/>
    <w:rsid w:val="006504B6"/>
    <w:rsid w:val="0065484A"/>
    <w:rsid w:val="00655D1E"/>
    <w:rsid w:val="00656D74"/>
    <w:rsid w:val="00661AAF"/>
    <w:rsid w:val="0067128E"/>
    <w:rsid w:val="006763E8"/>
    <w:rsid w:val="00677B47"/>
    <w:rsid w:val="00677F6E"/>
    <w:rsid w:val="00696371"/>
    <w:rsid w:val="006A1230"/>
    <w:rsid w:val="006B1253"/>
    <w:rsid w:val="006B2D75"/>
    <w:rsid w:val="006B4754"/>
    <w:rsid w:val="006B5B22"/>
    <w:rsid w:val="006C67E1"/>
    <w:rsid w:val="006D3551"/>
    <w:rsid w:val="006E0F36"/>
    <w:rsid w:val="006F0E0B"/>
    <w:rsid w:val="006F32E2"/>
    <w:rsid w:val="006F399D"/>
    <w:rsid w:val="006F7D41"/>
    <w:rsid w:val="007027A8"/>
    <w:rsid w:val="00706022"/>
    <w:rsid w:val="007368F6"/>
    <w:rsid w:val="00746BEE"/>
    <w:rsid w:val="00756194"/>
    <w:rsid w:val="007648EB"/>
    <w:rsid w:val="00764F1B"/>
    <w:rsid w:val="0076653B"/>
    <w:rsid w:val="007727EC"/>
    <w:rsid w:val="00776523"/>
    <w:rsid w:val="00781751"/>
    <w:rsid w:val="007849B8"/>
    <w:rsid w:val="007A1968"/>
    <w:rsid w:val="007A30D0"/>
    <w:rsid w:val="007A6B81"/>
    <w:rsid w:val="007B425F"/>
    <w:rsid w:val="007C00E0"/>
    <w:rsid w:val="007C7CE7"/>
    <w:rsid w:val="007D6EED"/>
    <w:rsid w:val="007E0987"/>
    <w:rsid w:val="007E215A"/>
    <w:rsid w:val="007E5337"/>
    <w:rsid w:val="007E7644"/>
    <w:rsid w:val="007F65BF"/>
    <w:rsid w:val="0080054F"/>
    <w:rsid w:val="00802E03"/>
    <w:rsid w:val="00804A74"/>
    <w:rsid w:val="00805142"/>
    <w:rsid w:val="00816AF8"/>
    <w:rsid w:val="00822496"/>
    <w:rsid w:val="0082399F"/>
    <w:rsid w:val="00835663"/>
    <w:rsid w:val="008413F2"/>
    <w:rsid w:val="008415B1"/>
    <w:rsid w:val="00847E00"/>
    <w:rsid w:val="00856A46"/>
    <w:rsid w:val="00867C1A"/>
    <w:rsid w:val="00871FC7"/>
    <w:rsid w:val="00872DA9"/>
    <w:rsid w:val="00875B06"/>
    <w:rsid w:val="008765C4"/>
    <w:rsid w:val="00880430"/>
    <w:rsid w:val="00884DC6"/>
    <w:rsid w:val="00886E3A"/>
    <w:rsid w:val="00892EDB"/>
    <w:rsid w:val="008A1348"/>
    <w:rsid w:val="008A1516"/>
    <w:rsid w:val="008A68F2"/>
    <w:rsid w:val="008B121E"/>
    <w:rsid w:val="008B311F"/>
    <w:rsid w:val="008B64F1"/>
    <w:rsid w:val="008C5390"/>
    <w:rsid w:val="008C555A"/>
    <w:rsid w:val="008D5DFA"/>
    <w:rsid w:val="008D6F6B"/>
    <w:rsid w:val="008D717D"/>
    <w:rsid w:val="008D7757"/>
    <w:rsid w:val="008E23FD"/>
    <w:rsid w:val="008E4DE6"/>
    <w:rsid w:val="008E5267"/>
    <w:rsid w:val="008E53F0"/>
    <w:rsid w:val="008E5FBF"/>
    <w:rsid w:val="008F2D21"/>
    <w:rsid w:val="00901C05"/>
    <w:rsid w:val="009024AE"/>
    <w:rsid w:val="009064A6"/>
    <w:rsid w:val="00911F3B"/>
    <w:rsid w:val="0091343C"/>
    <w:rsid w:val="009172E7"/>
    <w:rsid w:val="00920A39"/>
    <w:rsid w:val="00926100"/>
    <w:rsid w:val="009319CE"/>
    <w:rsid w:val="0093289B"/>
    <w:rsid w:val="0093630B"/>
    <w:rsid w:val="009510D9"/>
    <w:rsid w:val="009666E9"/>
    <w:rsid w:val="00970CF4"/>
    <w:rsid w:val="00975508"/>
    <w:rsid w:val="0099136E"/>
    <w:rsid w:val="00991430"/>
    <w:rsid w:val="00991BA0"/>
    <w:rsid w:val="0099525C"/>
    <w:rsid w:val="009A11E0"/>
    <w:rsid w:val="009A21ED"/>
    <w:rsid w:val="009A494B"/>
    <w:rsid w:val="009B4DC8"/>
    <w:rsid w:val="009D63E9"/>
    <w:rsid w:val="009D7C34"/>
    <w:rsid w:val="009E08F4"/>
    <w:rsid w:val="009E2216"/>
    <w:rsid w:val="009E2223"/>
    <w:rsid w:val="009E79B1"/>
    <w:rsid w:val="009F213B"/>
    <w:rsid w:val="009F4C06"/>
    <w:rsid w:val="009F58DA"/>
    <w:rsid w:val="009F6C38"/>
    <w:rsid w:val="00A10401"/>
    <w:rsid w:val="00A11BBD"/>
    <w:rsid w:val="00A170BA"/>
    <w:rsid w:val="00A1745E"/>
    <w:rsid w:val="00A4269E"/>
    <w:rsid w:val="00A44149"/>
    <w:rsid w:val="00A63917"/>
    <w:rsid w:val="00A664E4"/>
    <w:rsid w:val="00A67805"/>
    <w:rsid w:val="00A731AD"/>
    <w:rsid w:val="00A80742"/>
    <w:rsid w:val="00A82474"/>
    <w:rsid w:val="00A90584"/>
    <w:rsid w:val="00AA0605"/>
    <w:rsid w:val="00AC5741"/>
    <w:rsid w:val="00AC6EAE"/>
    <w:rsid w:val="00AE4E3A"/>
    <w:rsid w:val="00AE5F3E"/>
    <w:rsid w:val="00AF4CC3"/>
    <w:rsid w:val="00B03700"/>
    <w:rsid w:val="00B16C78"/>
    <w:rsid w:val="00B17CF8"/>
    <w:rsid w:val="00B31356"/>
    <w:rsid w:val="00B313FF"/>
    <w:rsid w:val="00B40A1A"/>
    <w:rsid w:val="00B41675"/>
    <w:rsid w:val="00B4393B"/>
    <w:rsid w:val="00B52695"/>
    <w:rsid w:val="00B55B54"/>
    <w:rsid w:val="00B56DF6"/>
    <w:rsid w:val="00B615A1"/>
    <w:rsid w:val="00B64946"/>
    <w:rsid w:val="00B76048"/>
    <w:rsid w:val="00B81130"/>
    <w:rsid w:val="00B8161A"/>
    <w:rsid w:val="00B8725A"/>
    <w:rsid w:val="00B91845"/>
    <w:rsid w:val="00B96161"/>
    <w:rsid w:val="00B96565"/>
    <w:rsid w:val="00BA4EE1"/>
    <w:rsid w:val="00BA56EA"/>
    <w:rsid w:val="00BA74C6"/>
    <w:rsid w:val="00BC4A0F"/>
    <w:rsid w:val="00BC6B16"/>
    <w:rsid w:val="00BD755E"/>
    <w:rsid w:val="00BE56E1"/>
    <w:rsid w:val="00BF47D3"/>
    <w:rsid w:val="00C11D7A"/>
    <w:rsid w:val="00C17FCA"/>
    <w:rsid w:val="00C420D0"/>
    <w:rsid w:val="00C44818"/>
    <w:rsid w:val="00C54692"/>
    <w:rsid w:val="00C56A32"/>
    <w:rsid w:val="00C66910"/>
    <w:rsid w:val="00C7437F"/>
    <w:rsid w:val="00C81C51"/>
    <w:rsid w:val="00C829DE"/>
    <w:rsid w:val="00C9029E"/>
    <w:rsid w:val="00C91F6F"/>
    <w:rsid w:val="00C928DB"/>
    <w:rsid w:val="00CA03B3"/>
    <w:rsid w:val="00CA66FA"/>
    <w:rsid w:val="00CB1EA1"/>
    <w:rsid w:val="00CC320B"/>
    <w:rsid w:val="00CC6DB7"/>
    <w:rsid w:val="00CC759E"/>
    <w:rsid w:val="00CD22BF"/>
    <w:rsid w:val="00CE6A09"/>
    <w:rsid w:val="00CF2E34"/>
    <w:rsid w:val="00CF41FA"/>
    <w:rsid w:val="00D02B8B"/>
    <w:rsid w:val="00D043BA"/>
    <w:rsid w:val="00D05AAA"/>
    <w:rsid w:val="00D23544"/>
    <w:rsid w:val="00D2599E"/>
    <w:rsid w:val="00D25C39"/>
    <w:rsid w:val="00D27061"/>
    <w:rsid w:val="00D27357"/>
    <w:rsid w:val="00D577EC"/>
    <w:rsid w:val="00D57C3B"/>
    <w:rsid w:val="00D624C1"/>
    <w:rsid w:val="00D67A37"/>
    <w:rsid w:val="00D701E9"/>
    <w:rsid w:val="00D70228"/>
    <w:rsid w:val="00D7345D"/>
    <w:rsid w:val="00D73D81"/>
    <w:rsid w:val="00D76563"/>
    <w:rsid w:val="00D83147"/>
    <w:rsid w:val="00D9270B"/>
    <w:rsid w:val="00D93BFB"/>
    <w:rsid w:val="00D95FD0"/>
    <w:rsid w:val="00DA603E"/>
    <w:rsid w:val="00DB6FB5"/>
    <w:rsid w:val="00DC2C18"/>
    <w:rsid w:val="00DE0FD6"/>
    <w:rsid w:val="00DF467D"/>
    <w:rsid w:val="00E01742"/>
    <w:rsid w:val="00E07151"/>
    <w:rsid w:val="00E11E04"/>
    <w:rsid w:val="00E16072"/>
    <w:rsid w:val="00E26970"/>
    <w:rsid w:val="00E26B57"/>
    <w:rsid w:val="00E3347F"/>
    <w:rsid w:val="00E3362A"/>
    <w:rsid w:val="00E40757"/>
    <w:rsid w:val="00E4415E"/>
    <w:rsid w:val="00E4775A"/>
    <w:rsid w:val="00E51BDD"/>
    <w:rsid w:val="00E52D9F"/>
    <w:rsid w:val="00E56706"/>
    <w:rsid w:val="00E722FC"/>
    <w:rsid w:val="00E81A3F"/>
    <w:rsid w:val="00E8762B"/>
    <w:rsid w:val="00EA0BE6"/>
    <w:rsid w:val="00EA1D83"/>
    <w:rsid w:val="00EA3803"/>
    <w:rsid w:val="00EA621B"/>
    <w:rsid w:val="00EA7F15"/>
    <w:rsid w:val="00EB111A"/>
    <w:rsid w:val="00EB1CBC"/>
    <w:rsid w:val="00EB4473"/>
    <w:rsid w:val="00EB5801"/>
    <w:rsid w:val="00EB7AF5"/>
    <w:rsid w:val="00EC001E"/>
    <w:rsid w:val="00EC49F4"/>
    <w:rsid w:val="00ED00A4"/>
    <w:rsid w:val="00ED0AEC"/>
    <w:rsid w:val="00ED1ADB"/>
    <w:rsid w:val="00EF09F5"/>
    <w:rsid w:val="00EF37CB"/>
    <w:rsid w:val="00F03E51"/>
    <w:rsid w:val="00F05CCC"/>
    <w:rsid w:val="00F144AF"/>
    <w:rsid w:val="00F17AF6"/>
    <w:rsid w:val="00F22416"/>
    <w:rsid w:val="00F270DF"/>
    <w:rsid w:val="00F31F98"/>
    <w:rsid w:val="00F4056B"/>
    <w:rsid w:val="00F426D7"/>
    <w:rsid w:val="00F47B3A"/>
    <w:rsid w:val="00F64151"/>
    <w:rsid w:val="00F701D4"/>
    <w:rsid w:val="00F70B9D"/>
    <w:rsid w:val="00F903D5"/>
    <w:rsid w:val="00F92816"/>
    <w:rsid w:val="00F94600"/>
    <w:rsid w:val="00F96D43"/>
    <w:rsid w:val="00FA42A9"/>
    <w:rsid w:val="00FB0ED9"/>
    <w:rsid w:val="00FC0344"/>
    <w:rsid w:val="00FC27A9"/>
    <w:rsid w:val="00FD22BE"/>
    <w:rsid w:val="00FE4E2E"/>
    <w:rsid w:val="00FF5CDE"/>
    <w:rsid w:val="00FF7E5C"/>
    <w:rsid w:val="03D4F2C0"/>
    <w:rsid w:val="0403AD7D"/>
    <w:rsid w:val="052C63AA"/>
    <w:rsid w:val="0CB4F4FC"/>
    <w:rsid w:val="11937909"/>
    <w:rsid w:val="308B6CE0"/>
    <w:rsid w:val="3934E046"/>
    <w:rsid w:val="3B4FFF61"/>
    <w:rsid w:val="40D36B78"/>
    <w:rsid w:val="4B0BA9BF"/>
    <w:rsid w:val="5A2C2C19"/>
    <w:rsid w:val="5C5DD441"/>
    <w:rsid w:val="61E14058"/>
    <w:rsid w:val="7512B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CDC"/>
  <w15:chartTrackingRefBased/>
  <w15:docId w15:val="{D45942EC-C663-4E73-B985-2E53D0B6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06"/>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BA"/>
    <w:pPr>
      <w:ind w:left="720"/>
    </w:pPr>
  </w:style>
  <w:style w:type="paragraph" w:styleId="Header">
    <w:name w:val="header"/>
    <w:basedOn w:val="Normal"/>
    <w:link w:val="HeaderChar"/>
    <w:uiPriority w:val="99"/>
    <w:unhideWhenUsed/>
    <w:rsid w:val="00C829DE"/>
    <w:pPr>
      <w:tabs>
        <w:tab w:val="center" w:pos="4680"/>
        <w:tab w:val="right" w:pos="9360"/>
      </w:tabs>
    </w:pPr>
  </w:style>
  <w:style w:type="character" w:customStyle="1" w:styleId="HeaderChar">
    <w:name w:val="Header Char"/>
    <w:basedOn w:val="DefaultParagraphFont"/>
    <w:link w:val="Header"/>
    <w:uiPriority w:val="99"/>
    <w:rsid w:val="00C829DE"/>
    <w:rPr>
      <w:rFonts w:ascii="Calibri" w:hAnsi="Calibri" w:cs="Calibri"/>
      <w:kern w:val="0"/>
      <w14:ligatures w14:val="none"/>
    </w:rPr>
  </w:style>
  <w:style w:type="paragraph" w:styleId="Footer">
    <w:name w:val="footer"/>
    <w:basedOn w:val="Normal"/>
    <w:link w:val="FooterChar"/>
    <w:uiPriority w:val="99"/>
    <w:unhideWhenUsed/>
    <w:rsid w:val="00C829DE"/>
    <w:pPr>
      <w:tabs>
        <w:tab w:val="center" w:pos="4680"/>
        <w:tab w:val="right" w:pos="9360"/>
      </w:tabs>
    </w:pPr>
  </w:style>
  <w:style w:type="character" w:customStyle="1" w:styleId="FooterChar">
    <w:name w:val="Footer Char"/>
    <w:basedOn w:val="DefaultParagraphFont"/>
    <w:link w:val="Footer"/>
    <w:uiPriority w:val="99"/>
    <w:rsid w:val="00C829DE"/>
    <w:rPr>
      <w:rFonts w:ascii="Calibri" w:hAnsi="Calibri" w:cs="Calibri"/>
      <w:kern w:val="0"/>
      <w14:ligatures w14:val="none"/>
    </w:rPr>
  </w:style>
  <w:style w:type="paragraph" w:styleId="FootnoteText">
    <w:name w:val="footnote text"/>
    <w:basedOn w:val="Normal"/>
    <w:link w:val="FootnoteTextChar"/>
    <w:uiPriority w:val="99"/>
    <w:semiHidden/>
    <w:unhideWhenUsed/>
    <w:rsid w:val="0003342D"/>
    <w:rPr>
      <w:sz w:val="20"/>
      <w:szCs w:val="20"/>
    </w:rPr>
  </w:style>
  <w:style w:type="character" w:customStyle="1" w:styleId="FootnoteTextChar">
    <w:name w:val="Footnote Text Char"/>
    <w:basedOn w:val="DefaultParagraphFont"/>
    <w:link w:val="FootnoteText"/>
    <w:uiPriority w:val="99"/>
    <w:semiHidden/>
    <w:rsid w:val="0003342D"/>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03342D"/>
    <w:rPr>
      <w:vertAlign w:val="superscript"/>
    </w:rPr>
  </w:style>
  <w:style w:type="character" w:styleId="Hyperlink">
    <w:name w:val="Hyperlink"/>
    <w:basedOn w:val="DefaultParagraphFont"/>
    <w:uiPriority w:val="99"/>
    <w:unhideWhenUsed/>
    <w:rsid w:val="003B0657"/>
    <w:rPr>
      <w:color w:val="0563C1" w:themeColor="hyperlink"/>
      <w:u w:val="single"/>
    </w:rPr>
  </w:style>
  <w:style w:type="character" w:styleId="UnresolvedMention">
    <w:name w:val="Unresolved Mention"/>
    <w:basedOn w:val="DefaultParagraphFont"/>
    <w:uiPriority w:val="99"/>
    <w:semiHidden/>
    <w:unhideWhenUsed/>
    <w:rsid w:val="003B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95442">
      <w:bodyDiv w:val="1"/>
      <w:marLeft w:val="0"/>
      <w:marRight w:val="0"/>
      <w:marTop w:val="0"/>
      <w:marBottom w:val="0"/>
      <w:divBdr>
        <w:top w:val="none" w:sz="0" w:space="0" w:color="auto"/>
        <w:left w:val="none" w:sz="0" w:space="0" w:color="auto"/>
        <w:bottom w:val="none" w:sz="0" w:space="0" w:color="auto"/>
        <w:right w:val="none" w:sz="0" w:space="0" w:color="auto"/>
      </w:divBdr>
    </w:div>
    <w:div w:id="765854724">
      <w:bodyDiv w:val="1"/>
      <w:marLeft w:val="0"/>
      <w:marRight w:val="0"/>
      <w:marTop w:val="0"/>
      <w:marBottom w:val="0"/>
      <w:divBdr>
        <w:top w:val="none" w:sz="0" w:space="0" w:color="auto"/>
        <w:left w:val="none" w:sz="0" w:space="0" w:color="auto"/>
        <w:bottom w:val="none" w:sz="0" w:space="0" w:color="auto"/>
        <w:right w:val="none" w:sz="0" w:space="0" w:color="auto"/>
      </w:divBdr>
    </w:div>
    <w:div w:id="998076008">
      <w:bodyDiv w:val="1"/>
      <w:marLeft w:val="0"/>
      <w:marRight w:val="0"/>
      <w:marTop w:val="0"/>
      <w:marBottom w:val="0"/>
      <w:divBdr>
        <w:top w:val="none" w:sz="0" w:space="0" w:color="auto"/>
        <w:left w:val="none" w:sz="0" w:space="0" w:color="auto"/>
        <w:bottom w:val="none" w:sz="0" w:space="0" w:color="auto"/>
        <w:right w:val="none" w:sz="0" w:space="0" w:color="auto"/>
      </w:divBdr>
    </w:div>
    <w:div w:id="1028677671">
      <w:bodyDiv w:val="1"/>
      <w:marLeft w:val="0"/>
      <w:marRight w:val="0"/>
      <w:marTop w:val="0"/>
      <w:marBottom w:val="0"/>
      <w:divBdr>
        <w:top w:val="none" w:sz="0" w:space="0" w:color="auto"/>
        <w:left w:val="none" w:sz="0" w:space="0" w:color="auto"/>
        <w:bottom w:val="none" w:sz="0" w:space="0" w:color="auto"/>
        <w:right w:val="none" w:sz="0" w:space="0" w:color="auto"/>
      </w:divBdr>
    </w:div>
    <w:div w:id="1044135554">
      <w:bodyDiv w:val="1"/>
      <w:marLeft w:val="0"/>
      <w:marRight w:val="0"/>
      <w:marTop w:val="0"/>
      <w:marBottom w:val="0"/>
      <w:divBdr>
        <w:top w:val="none" w:sz="0" w:space="0" w:color="auto"/>
        <w:left w:val="none" w:sz="0" w:space="0" w:color="auto"/>
        <w:bottom w:val="none" w:sz="0" w:space="0" w:color="auto"/>
        <w:right w:val="none" w:sz="0" w:space="0" w:color="auto"/>
      </w:divBdr>
      <w:divsChild>
        <w:div w:id="385762340">
          <w:marLeft w:val="0"/>
          <w:marRight w:val="0"/>
          <w:marTop w:val="0"/>
          <w:marBottom w:val="0"/>
          <w:divBdr>
            <w:top w:val="none" w:sz="0" w:space="0" w:color="3D3D3D"/>
            <w:left w:val="none" w:sz="0" w:space="0" w:color="3D3D3D"/>
            <w:bottom w:val="none" w:sz="0" w:space="0" w:color="3D3D3D"/>
            <w:right w:val="none" w:sz="0" w:space="0" w:color="3D3D3D"/>
          </w:divBdr>
          <w:divsChild>
            <w:div w:id="1862088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2967229">
      <w:bodyDiv w:val="1"/>
      <w:marLeft w:val="0"/>
      <w:marRight w:val="0"/>
      <w:marTop w:val="0"/>
      <w:marBottom w:val="0"/>
      <w:divBdr>
        <w:top w:val="none" w:sz="0" w:space="0" w:color="auto"/>
        <w:left w:val="none" w:sz="0" w:space="0" w:color="auto"/>
        <w:bottom w:val="none" w:sz="0" w:space="0" w:color="auto"/>
        <w:right w:val="none" w:sz="0" w:space="0" w:color="auto"/>
      </w:divBdr>
    </w:div>
    <w:div w:id="1192064360">
      <w:bodyDiv w:val="1"/>
      <w:marLeft w:val="0"/>
      <w:marRight w:val="0"/>
      <w:marTop w:val="0"/>
      <w:marBottom w:val="0"/>
      <w:divBdr>
        <w:top w:val="none" w:sz="0" w:space="0" w:color="auto"/>
        <w:left w:val="none" w:sz="0" w:space="0" w:color="auto"/>
        <w:bottom w:val="none" w:sz="0" w:space="0" w:color="auto"/>
        <w:right w:val="none" w:sz="0" w:space="0" w:color="auto"/>
      </w:divBdr>
    </w:div>
    <w:div w:id="14509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setext.com/statute/new-mexico-statutes-1978/chapter-32a-childrens-code/article-26-fostering-connections-act/section-32a-26-3-fostering-connections-program-eligibility?resultsNav=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s.mo.gov/file/Standards%20for%20Guardians%20ad%20Litem.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cholarship.law.missouri.edu/mlr/vol78/iss4/10" TargetMode="External"/><Relationship Id="rId2" Type="http://schemas.openxmlformats.org/officeDocument/2006/relationships/hyperlink" Target="https://repository.law.umich.edu/cgi/viewcontent.cgi?article=1343&amp;context=law_econ_current" TargetMode="External"/><Relationship Id="rId1" Type="http://schemas.openxmlformats.org/officeDocument/2006/relationships/hyperlink" Target="https://www.courts.mo.gov/file.jsp?id=639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4" ma:contentTypeDescription="Create a new document." ma:contentTypeScope="" ma:versionID="29ceee13fa69586c05b85f23ac5ddac5">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98dc5ba0488e73602f36210cdce6018"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85FE-1262-4B4B-8673-A3AD85C65DB9}">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2.xml><?xml version="1.0" encoding="utf-8"?>
<ds:datastoreItem xmlns:ds="http://schemas.openxmlformats.org/officeDocument/2006/customXml" ds:itemID="{945D1B22-48DE-4E7D-8284-9C0A47A24433}">
  <ds:schemaRefs>
    <ds:schemaRef ds:uri="http://schemas.microsoft.com/sharepoint/v3/contenttype/forms"/>
  </ds:schemaRefs>
</ds:datastoreItem>
</file>

<file path=customXml/itemProps3.xml><?xml version="1.0" encoding="utf-8"?>
<ds:datastoreItem xmlns:ds="http://schemas.openxmlformats.org/officeDocument/2006/customXml" ds:itemID="{5A0828D0-6DB7-481A-974A-F8D1B2A1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3A3EB-9AFB-4178-886B-9DF11F70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12</Pages>
  <Words>3553</Words>
  <Characters>20257</Characters>
  <Application>Microsoft Office Word</Application>
  <DocSecurity>0</DocSecurity>
  <Lines>168</Lines>
  <Paragraphs>47</Paragraphs>
  <ScaleCrop>false</ScaleCrop>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Olsen</dc:creator>
  <cp:keywords/>
  <dc:description/>
  <cp:lastModifiedBy>Bradley Galbraith</cp:lastModifiedBy>
  <cp:revision>147</cp:revision>
  <dcterms:created xsi:type="dcterms:W3CDTF">2024-01-12T23:24:00Z</dcterms:created>
  <dcterms:modified xsi:type="dcterms:W3CDTF">2024-01-13T18:02:00Z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